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281—14.16</w:t>
      </w:r>
      <w:r>
        <w:rPr>
          <w:rFonts w:ascii="Times New Roman" w:hAnsi="Times New Roman"/>
          <w:b/>
          <w:i w:val="false"/>
          <w:color w:val="000000"/>
          <w:sz w:val="22"/>
        </w:rPr>
        <w:t xml:space="preserve">(256) </w:t>
      </w:r>
      <w:r>
        <w:rPr>
          <w:rFonts w:ascii="Times New Roman" w:hAnsi="Times New Roman"/>
          <w:b/>
          <w:i w:val="false"/>
          <w:color w:val="000000"/>
          <w:sz w:val="22"/>
        </w:rPr>
        <w:t xml:space="preserve">Department responsibilities, evidence-based standards, guidelines and expectations. </w:t>
      </w:r>
      <w:r>
        <w:rPr>
          <w:rFonts w:ascii="Times New Roman" w:hAnsi="Times New Roman"/>
          <w:b w:val="false"/>
          <w:i w:val="false"/>
          <w:color w:val="000000"/>
          <w:sz w:val="22"/>
        </w:rPr>
        <w:t xml:space="preserve">By June 30, 2022, the department will develop, establish, and distribute to all school districts evidence-based standards, guidelines, and expectations for the appropriate and inappropriate responses to behavior in the classroom that present an imminent threat of bodily injury to a student or another person to assist the districts in compliance with this rule. The standards, guidelines, and expectations will be consistent with </w:t>
      </w:r>
      <w:hyperlink r:id="rId4">
        <w:r>
          <w:rPr>
            <w:rStyle w:val="Hyperlink"/>
            <w:rFonts w:ascii="Times New Roman" w:hAnsi="Times New Roman"/>
            <w:b w:val="false"/>
            <w:i w:val="false"/>
            <w:color w:val="000000"/>
            <w:sz w:val="22"/>
          </w:rPr>
          <w:t>281—Chapter 103</w:t>
        </w:r>
      </w:hyperlink>
      <w:r>
        <w:rPr>
          <w:rFonts w:ascii="Times New Roman" w:hAnsi="Times New Roman"/>
          <w:b w:val="false"/>
          <w:i w:val="false"/>
          <w:color w:val="000000"/>
          <w:sz w:val="22"/>
        </w:rPr>
        <w:t>. The evidence-based standards, guidelines, and expectations for the appropriate and inappropriate responses to behavior in the classroom that presents an imminent threat of bodily injury will be based on the department’s continuous improvement framework to support student social-emotional-behavioral health (SEBH). The director will consult with the area education agencies to create comprehensive and consistent standards and guidance for professional development relating to successfully educating individuals in the least restrictive environment, and for evidence-based interventions consistent with the standards established pursuant to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281.103.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