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Prevention of classroom behaviors that present an imminent threat.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Appropriate responses to behaviors, including classroom behavior that presents an imminent threat of bodily injury, are to be part of evidence-based tiered supports within the department’s continuous improvement framework to support student SEBH.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evidence-based tiered supports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universal support for all students that foster the emotional well-being of students through schoolwide safe and supportive environments.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culturally responsive.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trauma responsive.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positive school discipline practices.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crisis prevention, intervention and de-escalation that is based on student SEBH needs and reasonable in response to the behavior that is being exhibited.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proactive strategies that enable schools to identify and intervene early in order to minimize the escalation of identified behavioral health symptoms and other barriers to school success.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classroom management practices that include the following evidence-based practices: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effectively designed physical classroom.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Predictable classroom routines.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Posted positive classroom expectations.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Prompts and active supervision.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Varied opportunities to respond.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Acknowledgments for expected behavior.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Engage parents and guardians as partners in identifying appropriate supports for the students.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Support student development of social-emotional competencies and skills through planned universal instruction.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a set of specific supplemental interventions and intensive intervention supports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for students whose behaviors are unresponsive to low-intensity strategies.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based on functional behavior assessment (FBA).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supported by individuals trained to handle such issues.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Involve parents in development and ongoing review.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