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281—14.11</w:t>
      </w:r>
      <w:r>
        <w:rPr>
          <w:rFonts w:ascii="Times New Roman" w:hAnsi="Times New Roman"/>
          <w:b/>
          <w:i w:val="false"/>
          <w:color w:val="000000"/>
          <w:sz w:val="22"/>
        </w:rPr>
        <w:t xml:space="preserve">(256) </w:t>
      </w:r>
      <w:r>
        <w:rPr>
          <w:rFonts w:ascii="Times New Roman" w:hAnsi="Times New Roman"/>
          <w:b/>
          <w:i w:val="false"/>
          <w:color w:val="000000"/>
          <w:sz w:val="22"/>
        </w:rPr>
        <w:t xml:space="preserve">Crisis response.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following consists of appropriate responses to classroom behavior that presents an imminent threat of bodily injury and consistent with rules for seclusion and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Responses are to include nationally recognized best practices of crisis response/intervention to de-escalate behaviors that are likely to result in bodily harm.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Crisis response strategies are to include a safety assessment and continuum of strategies informed by the level of risk and the safety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possible, response strategies are to use less disruptive, nonphysical intervention prior to the use of physical interventions, unless the circumstances are such that physical intervention is necessary to ensure the safety of the student and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14.11(2)</w:t>
      </w:r>
      <w:r>
        <w:rPr>
          <w:rFonts w:ascii="Times New Roman" w:hAnsi="Times New Roman"/>
          <w:b w:val="false"/>
          <w:i w:val="false"/>
          <w:color w:val="000000"/>
          <w:sz w:val="22"/>
        </w:rPr>
        <w:t> </w:t>
      </w:r>
      <w:r>
        <w:rPr>
          <w:rFonts w:ascii="Times New Roman" w:hAnsi="Times New Roman"/>
          <w:b w:val="false"/>
          <w:i/>
          <w:color w:val="000000"/>
          <w:sz w:val="22"/>
        </w:rPr>
        <w:t xml:space="preserve">Use of reasonable force. </w:t>
      </w:r>
      <w:r>
        <w:rPr>
          <w:rFonts w:ascii="Times New Roman" w:hAnsi="Times New Roman"/>
          <w:b w:val="false"/>
          <w:i w:val="false"/>
          <w:color w:val="000000"/>
          <w:sz w:val="22"/>
        </w:rPr>
        <w:t xml:space="preserve">Notwithstanding the ban on corporal punishment in rule </w:t>
      </w:r>
      <w:hyperlink r:id="rId4">
        <w:r>
          <w:rPr>
            <w:rStyle w:val="Hyperlink"/>
            <w:rFonts w:ascii="Times New Roman" w:hAnsi="Times New Roman"/>
            <w:b w:val="false"/>
            <w:i w:val="false"/>
            <w:color w:val="000000"/>
            <w:sz w:val="22"/>
          </w:rPr>
          <w:t>281—103.3</w:t>
        </w:r>
      </w:hyperlink>
      <w:r>
        <w:rPr>
          <w:rFonts w:ascii="Times New Roman" w:hAnsi="Times New Roman"/>
          <w:b w:val="false"/>
          <w:i w:val="false"/>
          <w:color w:val="000000"/>
          <w:sz w:val="22"/>
        </w:rPr>
        <w:t xml:space="preserve">(256B,280), no employee subject to these rules is prohibited from using reasonable and necessary force in compliance with this chapter and </w:t>
      </w:r>
      <w:hyperlink r:id="rId5">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 employee is not privileged to use unreasonable force to accomplish any of the purposes listed in this chapter and </w:t>
      </w:r>
      <w:hyperlink r:id="rId6">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If physical force is used, school employees shall comply with any provisions of </w:t>
      </w:r>
      <w:hyperlink r:id="rId7">
        <w:r>
          <w:rPr>
            <w:rStyle w:val="Hyperlink"/>
            <w:rFonts w:ascii="Times New Roman" w:hAnsi="Times New Roman"/>
            <w:b w:val="false"/>
            <w:i w:val="false"/>
            <w:color w:val="000000"/>
            <w:sz w:val="22"/>
          </w:rPr>
          <w:t>281—Chapter 103</w:t>
        </w:r>
      </w:hyperlink>
      <w:r>
        <w:rPr>
          <w:rFonts w:ascii="Times New Roman" w:hAnsi="Times New Roman"/>
          <w:b w:val="false"/>
          <w:i w:val="false"/>
          <w:color w:val="000000"/>
          <w:sz w:val="22"/>
        </w:rPr>
        <w:t xml:space="preserve"> and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81.103.3.pdf" Type="http://schemas.openxmlformats.org/officeDocument/2006/relationships/hyperlink" Id="rId4"/>
    <Relationship TargetMode="External" Target="https://www.legis.iowa.gov/docs/iac/chapter/281.103.pdf" Type="http://schemas.openxmlformats.org/officeDocument/2006/relationships/hyperlink" Id="rId5"/>
    <Relationship TargetMode="External" Target="https://www.legis.iowa.gov/docs/iac/chapter/281.103.pdf" Type="http://schemas.openxmlformats.org/officeDocument/2006/relationships/hyperlink" Id="rId6"/>
    <Relationship TargetMode="External" Target="https://www.legis.iowa.gov/docs/iac/chapter/281.10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