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281—14.10</w:t>
      </w:r>
      <w:r>
        <w:rPr>
          <w:rFonts w:ascii="Times New Roman" w:hAnsi="Times New Roman"/>
          <w:b/>
          <w:i w:val="false"/>
          <w:color w:val="000000"/>
          <w:sz w:val="22"/>
        </w:rPr>
        <w:t xml:space="preserve">(279) </w:t>
      </w:r>
      <w:r>
        <w:rPr>
          <w:rFonts w:ascii="Times New Roman" w:hAnsi="Times New Roman"/>
          <w:b/>
          <w:i w:val="false"/>
          <w:color w:val="000000"/>
          <w:sz w:val="22"/>
        </w:rPr>
        <w:t xml:space="preserve">Documentation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classroom teacher shall report to the principal any incident of assault or violence that results in injury or property damage by a student enrolled in the school. For purposes of this rule, “attending students” includes all students who are actively attending school, suspended or expelled during the reporting school year. Districts should document all incidents that occur in a school building, on school grounds, or at a school-sponsored function by students attending school in the district. The school district shall report to the department, in a manner prescribed by the department, an annual count of disaggregated incidents of assault, violence resulting in injury, violence resulting in property damage, and referral/transfer to a therapeutic classroom that includes the therapeutic components as described in </w:t>
      </w:r>
      <w:hyperlink r:id="rId4">
        <w:r>
          <w:rPr>
            <w:rStyle w:val="Hyperlink"/>
            <w:rFonts w:ascii="Times New Roman" w:hAnsi="Times New Roman"/>
            <w:b w:val="false"/>
            <w:i w:val="false"/>
            <w:color w:val="000000"/>
            <w:sz w:val="22"/>
          </w:rPr>
          <w:t>subrule 14.13(2)</w:t>
        </w:r>
      </w:hyperlink>
      <w:r>
        <w:rPr>
          <w:rFonts w:ascii="Times New Roman" w:hAnsi="Times New Roman"/>
          <w:b w:val="false"/>
          <w:i w:val="false"/>
          <w:color w:val="000000"/>
          <w:sz w:val="22"/>
        </w:rPr>
        <w:t>. Incidents shall be reported if they occurred by a student in a school building, on school grounds, or at a school-sponsored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Contents of report. </w:t>
      </w:r>
      <w:r>
        <w:rPr>
          <w:rFonts w:ascii="Times New Roman" w:hAnsi="Times New Roman"/>
          <w:b w:val="false"/>
          <w:i w:val="false"/>
          <w:color w:val="000000"/>
          <w:sz w:val="22"/>
        </w:rPr>
        <w:t>The report will include demographic information on students reported as victims and perpetrators, disaggregated by race, gender, national origin, age, grade level, and disability status, along with any other data needed by the department to implement the Elementary and Secondary Education Act as amended by the Every Student Succeeds Act, Public Law 114-95, as effective on February 7, 2024, and with safeguards to ensure student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14.10(3)</w:t>
      </w:r>
      <w:r>
        <w:rPr>
          <w:rFonts w:ascii="Times New Roman" w:hAnsi="Times New Roman"/>
          <w:b w:val="false"/>
          <w:i w:val="false"/>
          <w:color w:val="000000"/>
          <w:sz w:val="22"/>
        </w:rPr>
        <w:t> </w:t>
      </w:r>
      <w:r>
        <w:rPr>
          <w:rFonts w:ascii="Times New Roman" w:hAnsi="Times New Roman"/>
          <w:b w:val="false"/>
          <w:i/>
          <w:color w:val="000000"/>
          <w:sz w:val="22"/>
        </w:rPr>
        <w:t xml:space="preserve">Reporting by the department. </w:t>
      </w:r>
      <w:r>
        <w:rPr>
          <w:rFonts w:ascii="Times New Roman" w:hAnsi="Times New Roman"/>
          <w:b w:val="false"/>
          <w:i w:val="false"/>
          <w:color w:val="000000"/>
          <w:sz w:val="22"/>
        </w:rPr>
        <w:t>The department of education will compile and summarize the data it receives under this rule and submit a report to the general assembly each year by November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1.14.1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