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281—14.1</w:t>
      </w:r>
      <w:r>
        <w:rPr>
          <w:rFonts w:ascii="Times New Roman" w:hAnsi="Times New Roman"/>
          <w:b/>
          <w:i w:val="false"/>
          <w:color w:val="000000"/>
          <w:sz w:val="22"/>
        </w:rPr>
        <w:t xml:space="preserve">(256) </w:t>
      </w:r>
      <w:r>
        <w:rPr>
          <w:rFonts w:ascii="Times New Roman" w:hAnsi="Times New Roman"/>
          <w:b/>
          <w:i w:val="false"/>
          <w:color w:val="000000"/>
          <w:sz w:val="22"/>
        </w:rPr>
        <w:t xml:space="preserve">Medication administration. </w:t>
      </w:r>
      <w:r>
        <w:rPr>
          <w:rFonts w:ascii="Times New Roman" w:hAnsi="Times New Roman"/>
          <w:b w:val="false"/>
          <w:i w:val="false"/>
          <w:color w:val="000000"/>
          <w:sz w:val="22"/>
        </w:rPr>
        <w:t>Each school district, area education agency, and school shall establish medication administration policy and procedures, which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14.1(1)</w:t>
      </w:r>
      <w:r>
        <w:rPr>
          <w:rFonts w:ascii="Times New Roman" w:hAnsi="Times New Roman"/>
          <w:b w:val="false"/>
          <w:i w:val="false"/>
          <w:color w:val="000000"/>
          <w:sz w:val="22"/>
        </w:rPr>
        <w:t> </w:t>
      </w:r>
      <w:r>
        <w:rPr>
          <w:rFonts w:ascii="Times New Roman" w:hAnsi="Times New Roman"/>
          <w:b w:val="false"/>
          <w:i w:val="false"/>
          <w:color w:val="000000"/>
          <w:sz w:val="22"/>
        </w:rPr>
        <w:t>A statement on administration of prescription and nonprescription medication.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14.1(2)</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statement on an individual health plan pursuant to rule </w:t>
      </w:r>
      <w:hyperlink r:id="rId4">
        <w:r>
          <w:rPr>
            <w:rStyle w:val="Hyperlink"/>
            <w:rFonts w:ascii="Times New Roman" w:hAnsi="Times New Roman"/>
            <w:b w:val="false"/>
            <w:i w:val="false"/>
            <w:color w:val="000000"/>
            <w:sz w:val="22"/>
          </w:rPr>
          <w:t>281—14.2</w:t>
        </w:r>
      </w:hyperlink>
      <w:r>
        <w:rPr>
          <w:rFonts w:ascii="Times New Roman" w:hAnsi="Times New Roman"/>
          <w:b w:val="false"/>
          <w:i w:val="false"/>
          <w:color w:val="000000"/>
          <w:sz w:val="22"/>
        </w:rPr>
        <w:t>(256) when administration requires ongoing professional health judgment.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14.1(3)</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statement that authorized persons administering medication include licensed health personnel working under the auspices of the school, such as licensed registered nurses, physicians, physician associates, and persons to whom authorized practitioners have delegated the administration of prescription and nonprescription drugs (who have successfully completed a medication administration course). Individuals who have demonstrated competency in administering their own medications may self-administer their medication. Individuals may self-administer asthma or other airway constricting disease medication, use a bronchodilator canister or bronchodilator canister and spacer, or possess and have use of an epinephrine auto-injector with parent and physician (or physician associate) consent on file for each school year, without the necessity of demonstrating competency to self-administer these medications. If a student misuses this privilege, it may be withdrawn. For purposes of this chapter, “self-administration” and “medication” mean the same as defined in Iowa Code section </w:t>
      </w:r>
      <w:hyperlink r:id="rId5">
        <w:r>
          <w:rPr>
            <w:rStyle w:val="Hyperlink"/>
            <w:rFonts w:ascii="Times New Roman" w:hAnsi="Times New Roman"/>
            <w:b w:val="false"/>
            <w:i w:val="false"/>
            <w:color w:val="000000"/>
            <w:sz w:val="22"/>
          </w:rPr>
          <w:t>280.16(1)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14.1(4)</w:t>
      </w:r>
      <w:r>
        <w:rPr>
          <w:rFonts w:ascii="Times New Roman" w:hAnsi="Times New Roman"/>
          <w:b w:val="false"/>
          <w:i w:val="false"/>
          <w:color w:val="000000"/>
          <w:sz w:val="22"/>
        </w:rPr>
        <w:t> </w:t>
      </w:r>
      <w:r>
        <w:rPr>
          <w:rFonts w:ascii="Times New Roman" w:hAnsi="Times New Roman"/>
          <w:b w:val="false"/>
          <w:i w:val="false"/>
          <w:color w:val="000000"/>
          <w:sz w:val="22"/>
        </w:rPr>
        <w:t>A provision for a medication administration course provided by the department that is completed every five years with an annual medication administration procedural skills check completed with licensed health personnel. Licensed health personnel working under the auspices of the school who delegate medication administration within their scope of practice will conduct the course. A record of course completion will be maintained by the school.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14.1(5)</w:t>
      </w:r>
      <w:r>
        <w:rPr>
          <w:rFonts w:ascii="Times New Roman" w:hAnsi="Times New Roman"/>
          <w:b w:val="false"/>
          <w:i w:val="false"/>
          <w:color w:val="000000"/>
          <w:sz w:val="22"/>
        </w:rPr>
        <w:t> </w:t>
      </w:r>
      <w:r>
        <w:rPr>
          <w:rFonts w:ascii="Times New Roman" w:hAnsi="Times New Roman"/>
          <w:b w:val="false"/>
          <w:i w:val="false"/>
          <w:color w:val="000000"/>
          <w:sz w:val="22"/>
        </w:rPr>
        <w:t>A provision that the individual’s parent provide a signed and dated written statement requesting medication administration at school.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14.1(6)</w:t>
      </w:r>
      <w:r>
        <w:rPr>
          <w:rFonts w:ascii="Times New Roman" w:hAnsi="Times New Roman"/>
          <w:b w:val="false"/>
          <w:i w:val="false"/>
          <w:color w:val="000000"/>
          <w:sz w:val="22"/>
        </w:rPr>
        <w:t> </w:t>
      </w:r>
      <w:r>
        <w:rPr>
          <w:rFonts w:ascii="Times New Roman" w:hAnsi="Times New Roman"/>
          <w:b w:val="false"/>
          <w:i w:val="false"/>
          <w:color w:val="000000"/>
          <w:sz w:val="22"/>
        </w:rPr>
        <w:t>A statement that medication will be in the original labeled container either as dispensed or in the manufacturer’s container.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14.1(7)</w:t>
      </w:r>
      <w:r>
        <w:rPr>
          <w:rFonts w:ascii="Times New Roman" w:hAnsi="Times New Roman"/>
          <w:b w:val="false"/>
          <w:i w:val="false"/>
          <w:color w:val="000000"/>
          <w:sz w:val="22"/>
        </w:rPr>
        <w:t> </w:t>
      </w:r>
      <w:r>
        <w:rPr>
          <w:rFonts w:ascii="Times New Roman" w:hAnsi="Times New Roman"/>
          <w:b w:val="false"/>
          <w:i w:val="false"/>
          <w:color w:val="000000"/>
          <w:sz w:val="22"/>
        </w:rPr>
        <w:t>A provision that a written medication administration record is to be on file at the school and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Individual’s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Prescriber or person authorizing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Medication name and purpose, including the use of a bronchodilator canister or a bronchodilator canister and spacer or the use of an epinephrine auto-injector.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Medication dosage.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Administration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Administration method.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Signature and title of the person administering medication.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Any unusual circumstances, actions or omissions.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14.1(8)</w:t>
      </w:r>
      <w:r>
        <w:rPr>
          <w:rFonts w:ascii="Times New Roman" w:hAnsi="Times New Roman"/>
          <w:b w:val="false"/>
          <w:i w:val="false"/>
          <w:color w:val="000000"/>
          <w:sz w:val="22"/>
        </w:rPr>
        <w:t> </w:t>
      </w:r>
      <w:r>
        <w:rPr>
          <w:rFonts w:ascii="Times New Roman" w:hAnsi="Times New Roman"/>
          <w:b w:val="false"/>
          <w:i w:val="false"/>
          <w:color w:val="000000"/>
          <w:sz w:val="22"/>
        </w:rPr>
        <w:t>A statement that medication shall be stored in a secured area unless an alternate provision is documented.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14.1(9)</w:t>
      </w:r>
      <w:r>
        <w:rPr>
          <w:rFonts w:ascii="Times New Roman" w:hAnsi="Times New Roman"/>
          <w:b w:val="false"/>
          <w:i w:val="false"/>
          <w:color w:val="000000"/>
          <w:sz w:val="22"/>
        </w:rPr>
        <w:t> </w:t>
      </w:r>
      <w:r>
        <w:rPr>
          <w:rFonts w:ascii="Times New Roman" w:hAnsi="Times New Roman"/>
          <w:b w:val="false"/>
          <w:i w:val="false"/>
          <w:color w:val="000000"/>
          <w:sz w:val="22"/>
        </w:rPr>
        <w:t>A provision for a written statement by the individual’s parent or guardian requesting the individual’s co-administration of medication, when competency is demonstrated.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14.1(10)</w:t>
      </w:r>
      <w:r>
        <w:rPr>
          <w:rFonts w:ascii="Times New Roman" w:hAnsi="Times New Roman"/>
          <w:b w:val="false"/>
          <w:i w:val="false"/>
          <w:color w:val="000000"/>
          <w:sz w:val="22"/>
        </w:rPr>
        <w:t> </w:t>
      </w:r>
      <w:r>
        <w:rPr>
          <w:rFonts w:ascii="Times New Roman" w:hAnsi="Times New Roman"/>
          <w:b w:val="false"/>
          <w:i w:val="false"/>
          <w:color w:val="000000"/>
          <w:sz w:val="22"/>
        </w:rPr>
        <w:t>A provision for emergency protocols for medication-related reactions.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14.1(11)</w:t>
      </w:r>
      <w:r>
        <w:rPr>
          <w:rFonts w:ascii="Times New Roman" w:hAnsi="Times New Roman"/>
          <w:b w:val="false"/>
          <w:i w:val="false"/>
          <w:color w:val="000000"/>
          <w:sz w:val="22"/>
        </w:rPr>
        <w:t> </w:t>
      </w:r>
      <w:r>
        <w:rPr>
          <w:rFonts w:ascii="Times New Roman" w:hAnsi="Times New Roman"/>
          <w:b w:val="false"/>
          <w:i w:val="false"/>
          <w:color w:val="000000"/>
          <w:sz w:val="22"/>
        </w:rPr>
        <w:t>A statement regarding confidentiality of information.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8/19/26</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281.14.2.pdf" Type="http://schemas.openxmlformats.org/officeDocument/2006/relationships/hyperlink" Id="rId4"/>
    <Relationship TargetMode="External" Target="https://www.legis.iowa.gov/docs/ico/chapter/280.16.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