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191—98.7</w:t>
      </w:r>
      <w:r>
        <w:rPr>
          <w:rFonts w:ascii="Times New Roman" w:hAnsi="Times New Roman"/>
          <w:b/>
          <w:i w:val="false"/>
          <w:color w:val="000000"/>
          <w:sz w:val="22"/>
        </w:rPr>
        <w:t xml:space="preserve">(505) </w:t>
      </w:r>
      <w:r>
        <w:rPr>
          <w:rFonts w:ascii="Times New Roman" w:hAnsi="Times New Roman"/>
          <w:b/>
          <w:i w:val="false"/>
          <w:color w:val="000000"/>
          <w:sz w:val="22"/>
        </w:rPr>
        <w:t xml:space="preserve">Qualifications of independent certified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 recognize any person or firm as a qualified independent certified public accountant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not in good standing with the AICPA and in all states in which the accountant is licensed to practice, or, for a Canadian or British company, is not a chartered accountant;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either directly or indirectly entered into an agreement of indemnity or release from liability (collectively referred to as indemnification) with respect to the audit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98.7(2)</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herein, independent certified public accountants shall be recognized as qualified as long as they conform to the standards of their profession, as contained in the Code of Professional Ethics of the AICPA and rules and regulations and the code of ethics and rules of professional conduct of the Iowa accountancy examining board, or similar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98.7(3)</w:t>
      </w:r>
      <w:r>
        <w:rPr>
          <w:rFonts w:ascii="Times New Roman" w:hAnsi="Times New Roman"/>
          <w:b w:val="false"/>
          <w:i w:val="false"/>
          <w:color w:val="000000"/>
          <w:sz w:val="22"/>
        </w:rPr>
        <w:t> </w:t>
      </w:r>
      <w:r>
        <w:rPr>
          <w:rFonts w:ascii="Times New Roman" w:hAnsi="Times New Roman"/>
          <w:b w:val="false"/>
          <w:i w:val="false"/>
          <w:color w:val="000000"/>
          <w:sz w:val="22"/>
        </w:rPr>
        <w:t xml:space="preserve">A qualified independent certified public accountant may enter into an agreement with an insurer to have disputes relating to an audit resolved by mediation or arbitration. However, in the event of a delinquency proceeding commenced against the insurer under Iowa Code chapter </w:t>
      </w:r>
      <w:hyperlink r:id="rId4">
        <w:r>
          <w:rPr>
            <w:rStyle w:val="Hyperlink"/>
            <w:rFonts w:ascii="Times New Roman" w:hAnsi="Times New Roman"/>
            <w:b w:val="false"/>
            <w:i w:val="false"/>
            <w:color w:val="000000"/>
            <w:sz w:val="22"/>
          </w:rPr>
          <w:t>507C</w:t>
        </w:r>
      </w:hyperlink>
      <w:r>
        <w:rPr>
          <w:rFonts w:ascii="Times New Roman" w:hAnsi="Times New Roman"/>
          <w:b w:val="false"/>
          <w:i w:val="false"/>
          <w:color w:val="000000"/>
          <w:sz w:val="22"/>
        </w:rPr>
        <w:t>, the mediation or arbitration provisions shall operate at the option of the statutory successor.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lead (or coordinating) audit partner (having primary responsibility for the audit) may not act in that capacity for more than five consecutive years. The person shall be disqualified from acting in that or a similar capacity for the same company or its insurance subsidiaries or affiliates for a period of five consecutive years. An insurer may make application to the commissioner for relief from the above rotation requirement on the basis of unusual circumstances. This application should be made at least 30 days before the end of the calendar year. The commissioner may consider the following factors in determining if the relief should be granted: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Number of partners, expertise of the partners, or the number of insurance clients in the currently registered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Premium volume of the insurer;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 of jurisdictions in which the insurer transacts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98.7(5)</w:t>
      </w:r>
      <w:r>
        <w:rPr>
          <w:rFonts w:ascii="Times New Roman" w:hAnsi="Times New Roman"/>
          <w:b w:val="false"/>
          <w:i w:val="false"/>
          <w:color w:val="000000"/>
          <w:sz w:val="22"/>
        </w:rPr>
        <w:t> </w:t>
      </w:r>
      <w:r>
        <w:rPr>
          <w:rFonts w:ascii="Times New Roman" w:hAnsi="Times New Roman"/>
          <w:b w:val="false"/>
          <w:i w:val="false"/>
          <w:color w:val="000000"/>
          <w:sz w:val="22"/>
        </w:rPr>
        <w:t>The insurer shall file, with its annual statement filing, the approval for relief from subrule 98.7(4) with the states in which it is licensed or doing business and with the NAIC. If the nondomestic state accepts electronic filing with the NAIC, the insurer shall file the approval in an electronic format acceptable to the NAIC.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98.7(6)</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neither recognize as a qualified independent certified public accountant nor accept any annual audited financial report prepared in whole or in part by any natural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convicted of fraud, bribery, a violation of the Racketeer Influenced and Corrupt Organizations Act, 18 U.S.C. Sections 1961 to 1968, or any dishonest conduct or practices under federal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been found to have violated the insurance laws of this state with respect to any previous reports submitted under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demonstrated a pattern or practice of failing to detect or disclose material information in previous reports filed under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98.7(7)</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of insurance, under </w:t>
      </w:r>
      <w:hyperlink r:id="rId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may hold a hearing to determine whether an independent certified public accountant is qualified and, considering the evidence presented, may rule that the accountant is not qualified for purposes of expressing the opinion of the accountant on the financial statements in the annual audited financial report made pursuant to this chapter and require the insurer to replace the accountant with another whose relationship with the insurer is qualified within the meaning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98.7(8)</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 recognize as a qualified independent certified public accountant or accept an annual audited financial report prepared in whole or in part by an accountant who provides to an insurer, contemporaneously with the audit, the following nonaudit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Bookkeeping or other services related to the accounting records or financial statements of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systems design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Appraisal or valuation services, fairness opinions, or contribution-in-kind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Actuarially oriented advisory services involving the determination of amounts recorded in the financial statements. The accountant may assist an insurer in understanding the methods, assumptions and inputs used in the determination of amounts recorded in the financial statement only if it is reasonable to conclude that the services provided will not be subject to audit procedures during an audit of the insurer’s financial statements. An accountant’s actuary may also issue an actuarial opinion or certification (“opinion”) on an insurer’s reserves if the following conditions have been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Neither the accountant nor the accountant’s actuary has performed any management functions or made any management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insurer has competent personnel (or engages a third-party actuary) to estimate the reserves for which management takes responsibility;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accountant’s actuary tests the reasonableness of the reserves after the insurer’s management has determined the amount of the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Internal audit outsourcing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Management functions or human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Broker or dealer, investment adviser, or investment banking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Legal services or expert services unrelated to an audit;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other services that the commissioner determines, by rule, are impermissible.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98.7(9)</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the principles of independence with respect to services provided by the qualified independent certified public accountant are largely predicated on three basic principles, violations of which would impair the accountant’s independence. The principles are that the accountant cannot function in the role of management, cannot audit the accountant's own work, and cannot serve in an advocacy role for the insurer.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98.7(10)</w:t>
      </w:r>
      <w:r>
        <w:rPr>
          <w:rFonts w:ascii="Times New Roman" w:hAnsi="Times New Roman"/>
          <w:b w:val="false"/>
          <w:i w:val="false"/>
          <w:color w:val="000000"/>
          <w:sz w:val="22"/>
        </w:rPr>
        <w:t> </w:t>
      </w:r>
      <w:r>
        <w:rPr>
          <w:rFonts w:ascii="Times New Roman" w:hAnsi="Times New Roman"/>
          <w:b w:val="false"/>
          <w:i w:val="false"/>
          <w:color w:val="000000"/>
          <w:sz w:val="22"/>
        </w:rPr>
        <w:t>Insurers having direct written and assumed premiums of less than $100 million in any calendar year may request an exemption from subrule 98.7(8). The insurer shall file with the commissioner a written statement discussing the reasons why the insurer should be exempt from these provisions. If the commissioner finds, upon review of this statement, that compliance with subrule 98.7(8) would constitute a financial or organizational hardship upon the insurer, an exemption may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98.7(11)</w:t>
      </w:r>
      <w:r>
        <w:rPr>
          <w:rFonts w:ascii="Times New Roman" w:hAnsi="Times New Roman"/>
          <w:b w:val="false"/>
          <w:i w:val="false"/>
          <w:color w:val="000000"/>
          <w:sz w:val="22"/>
        </w:rPr>
        <w:t> </w:t>
      </w:r>
      <w:r>
        <w:rPr>
          <w:rFonts w:ascii="Times New Roman" w:hAnsi="Times New Roman"/>
          <w:b w:val="false"/>
          <w:i w:val="false"/>
          <w:color w:val="000000"/>
          <w:sz w:val="22"/>
        </w:rPr>
        <w:t>A qualified independent certified public accountant who performs the audit may engage in other nonaudit services, including tax services that are not described in subrule 98.7(8) or that do not conflict with subrule 98.7(9), only if the activity is approved in advance by the audit committee, in accordance with subrule 98.7(12).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98.7(12)</w:t>
      </w:r>
      <w:r>
        <w:rPr>
          <w:rFonts w:ascii="Times New Roman" w:hAnsi="Times New Roman"/>
          <w:b w:val="false"/>
          <w:i w:val="false"/>
          <w:color w:val="000000"/>
          <w:sz w:val="22"/>
        </w:rPr>
        <w:t> </w:t>
      </w:r>
      <w:r>
        <w:rPr>
          <w:rFonts w:ascii="Times New Roman" w:hAnsi="Times New Roman"/>
          <w:b w:val="false"/>
          <w:i w:val="false"/>
          <w:color w:val="000000"/>
          <w:sz w:val="22"/>
        </w:rPr>
        <w:t>All auditing services and nonaudit services provided to an insurer by the qualified independent certified public accountant of the insurer shall be preapproved by the audit committee. The preapproval requirement is waived with respect to nonaudit services if the insurer is a SOX compliant entity or a direct or indirect wholly owned subsidiary of a SOX compliant entity or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aggregate amount of all such nonaudit services provided to the insurer constitutes not more than 5 percent of the total amount of fees paid by the insurer to its qualified independent certified public accountant during the fiscal year in which the nonaudit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were not recognized by the insurer at the time of the engagement to be nonaudit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services are promptly brought to the attention of the audit committee and approved prior to the completion of the audit by the audit committee or by one or more members of the audit committee who are the members of the board of directors to whom authority to grant such approvals has been delegated by the audit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audit committee may delegate to one or more designated members of the audit committee the authority to grant the preapprovals required by subrule 98.7(12). The decisions of any member to whom this authority is delegated shall be presented to the full audit committee at each of its scheduled 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not recognize an independent certified public accountant as qualified for a particular insurer if a member of the board, president, chief executive officer, controller, chief financial officer, chief accounting officer, or any person serving in an equivalent position for that insurer was employed by the independent certified public accountant and participated in the audit of that insurer during the one-year period preceding the date that the most current statutory opinion is due. This subrule shall only apply to partners and senior managers involved in the audit. An insurer may make application to the commissioner for relief from the above requirement on the basis of unusual circumstances.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98.7(15)</w:t>
      </w:r>
      <w:r>
        <w:rPr>
          <w:rFonts w:ascii="Times New Roman" w:hAnsi="Times New Roman"/>
          <w:b w:val="false"/>
          <w:i w:val="false"/>
          <w:color w:val="000000"/>
          <w:sz w:val="22"/>
        </w:rPr>
        <w:t> </w:t>
      </w:r>
      <w:r>
        <w:rPr>
          <w:rFonts w:ascii="Times New Roman" w:hAnsi="Times New Roman"/>
          <w:b w:val="false"/>
          <w:i w:val="false"/>
          <w:color w:val="000000"/>
          <w:sz w:val="22"/>
        </w:rPr>
        <w:t>The insurer shall file, with its annual statement filing, the approval for relief from the requirements of subrule 98.7(14) with the states in which it is licensed or doing business and with the NAIC. If the nondomestic state accepts electronic filing with the NAIC, the insurer shall file the approval in an electronic format acceptable to the NAIC.</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07C.pdf" Type="http://schemas.openxmlformats.org/officeDocument/2006/relationships/hyperlink" Id="rId4"/>
    <Relationship TargetMode="External" Target="https://www.legis.iowa.gov/docs/iac/chapter/7.25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