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191—98.17</w:t>
      </w:r>
      <w:r>
        <w:rPr>
          <w:rFonts w:ascii="Times New Roman" w:hAnsi="Times New Roman"/>
          <w:b/>
          <w:i w:val="false"/>
          <w:color w:val="000000"/>
          <w:sz w:val="22"/>
        </w:rPr>
        <w:t xml:space="preserve">(505) </w:t>
      </w:r>
      <w:r>
        <w:rPr>
          <w:rFonts w:ascii="Times New Roman" w:hAnsi="Times New Roman"/>
          <w:b/>
          <w:i w:val="false"/>
          <w:color w:val="000000"/>
          <w:sz w:val="22"/>
        </w:rPr>
        <w:t xml:space="preserve">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98.17(1)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written application of any insurer, the commissioner may grant an exemption from compliance with any and all provisions of this chapter if the commissioner finds, upon review of the application, that compliance with this chapter would constitute a financial or organizational hardship upon the insurer. An exemption may be granted at any time and from time to time for a specified period or periods. Within ten days from a denial of an insurer’s written request for an exemption from this chapter, the insurer may request in writing a hearing on its application for an exemption. The hearing shall be held in accordance with </w:t>
      </w:r>
      <w:hyperlink r:id="rId4">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98.17(2)</w:t>
      </w:r>
      <w:r>
        <w:rPr>
          <w:rFonts w:ascii="Times New Roman" w:hAnsi="Times New Roman"/>
          <w:b w:val="false"/>
          <w:i w:val="false"/>
          <w:color w:val="000000"/>
          <w:sz w:val="22"/>
        </w:rPr>
        <w:t> </w:t>
      </w:r>
      <w:r>
        <w:rPr>
          <w:rFonts w:ascii="Times New Roman" w:hAnsi="Times New Roman"/>
          <w:b w:val="false"/>
          <w:i w:val="false"/>
          <w:color w:val="000000"/>
          <w:sz w:val="22"/>
        </w:rPr>
        <w:t>If an insurer or group of insurers that is exempt from the requirements of rule 191—98.14(505) no longer qualifies for that exemption, the insurer or group of insurers shall have one year after the year the threshold is exceeded to comply with the requirements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3145C</w:t>
      </w:r>
      <w:r>
        <w:rPr>
          <w:rFonts w:ascii="Times New Roman" w:hAnsi="Times New Roman"/>
          <w:b w:val="false"/>
          <w:i w:val="false"/>
          <w:color w:val="000000"/>
          <w:sz w:val="16"/>
        </w:rPr>
        <w:t>, IAB 6/21/17, effective 7/26/17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8/19/26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7.2506.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