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191—76.10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(514J)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Fees charged by independent review organizations.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76.10(1)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Fees charged by independent review organizations shall be reasonable.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76.10(2)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health carrier objecting to the fee charged by an independent review organization shall file a written notice with the commissioner and the independent review organization indicating the health carrier’s objections to the fee and the reasons and any documentation for the objections.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76.10(3)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Five days after receipt of the notice, the independent review organization may submit to the commissioner written documentation supporting the fee.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76.10(4)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parties do not come to an agreement within 30 days of the initial notice, the commissioner or the commissioner’s designee shall conduct a review of the fee and submissions and issue a written decision within 60 days. Factors to consider in determining whether a fee is unreasonable may include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time and labor required to perform the independent review;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novelty and difficulty of the issues;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skill requisite to perform the independent review properly;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customary fee;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experience, reputation and ability of the independent review organization and those performing the independent review.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76.10(5)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party may appeal the commissioner’s decision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9979B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1/25/12, effective 2/29/12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8/19/26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