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191—34.6</w:t>
      </w:r>
      <w:r>
        <w:rPr>
          <w:rFonts w:ascii="Times New Roman" w:hAnsi="Times New Roman"/>
          <w:b/>
          <w:i w:val="false"/>
          <w:color w:val="000000"/>
          <w:sz w:val="22"/>
        </w:rPr>
        <w:t xml:space="preserve">(514) </w:t>
      </w:r>
      <w:r>
        <w:rPr>
          <w:rFonts w:ascii="Times New Roman" w:hAnsi="Times New Roman"/>
          <w:b/>
          <w:i w:val="false"/>
          <w:color w:val="000000"/>
          <w:sz w:val="22"/>
        </w:rPr>
        <w:t xml:space="preserve">Participating hospital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standards shall be applied to all participating hospital contracts subject to approval under Iowa Code section </w:t>
      </w:r>
      <w:hyperlink r:id="rId4">
        <w:r>
          <w:rPr>
            <w:rStyle w:val="Hyperlink"/>
            <w:rFonts w:ascii="Times New Roman" w:hAnsi="Times New Roman"/>
            <w:b w:val="false"/>
            <w:i w:val="false"/>
            <w:color w:val="000000"/>
            <w:sz w:val="22"/>
          </w:rPr>
          <w:t>514.8</w:t>
        </w:r>
      </w:hyperlink>
      <w:r>
        <w:rPr>
          <w:rFonts w:ascii="Times New Roman" w:hAnsi="Times New Roman"/>
          <w:b w:val="false"/>
          <w:i w:val="false"/>
          <w:color w:val="000000"/>
          <w:sz w:val="22"/>
        </w:rPr>
        <w:t xml:space="preserve"> and shall be relied upon by the commissioner in deciding whether approval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Contracts shall be fair to the subscribers of the hospital service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Contracts shall be fair to the hospital service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Contracts shall be fair, reasonable, and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subscribers’ rights to service under participating hospital contracts shall be adequately specified and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contract shall not be unfairly discriminatory with respect to the provision of services to subscribers.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Contracts shall not be detrimental to the financial condition of the hospital service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payment of consideration required of the hospital service corporation by the provisions of the contract shall not be excessive, inadequate or unfair.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34.6(2)</w:t>
      </w:r>
      <w:r>
        <w:rPr>
          <w:rFonts w:ascii="Times New Roman" w:hAnsi="Times New Roman"/>
          <w:b w:val="false"/>
          <w:i w:val="false"/>
          <w:color w:val="000000"/>
          <w:sz w:val="22"/>
        </w:rPr>
        <w:t> </w:t>
      </w:r>
      <w:r>
        <w:rPr>
          <w:rFonts w:ascii="Times New Roman" w:hAnsi="Times New Roman"/>
          <w:b w:val="false"/>
          <w:i w:val="false"/>
          <w:color w:val="000000"/>
          <w:sz w:val="22"/>
        </w:rPr>
        <w:t>The prototype contract used by hospital service corporations with participating hospitals for hospital service shall be subject to the prior approval of the division. The individual contracts between hospital service corporations and individual participating hospitals are not subject to prior approval, so long as they substantially conform to the prototype contract approved by the commissioner. An informational filing shall be required upon execution of an individual hospital contract. An individual hospital contract shall be deemed to be in substantial conformity with the prototype contract if it is not disapproved within 30 days of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34.6(3)</w:t>
      </w:r>
      <w:r>
        <w:rPr>
          <w:rFonts w:ascii="Times New Roman" w:hAnsi="Times New Roman"/>
          <w:b w:val="false"/>
          <w:i w:val="false"/>
          <w:color w:val="000000"/>
          <w:sz w:val="22"/>
        </w:rPr>
        <w:t> </w:t>
      </w:r>
      <w:r>
        <w:rPr>
          <w:rFonts w:ascii="Times New Roman" w:hAnsi="Times New Roman"/>
          <w:b w:val="false"/>
          <w:i w:val="false"/>
          <w:color w:val="000000"/>
          <w:sz w:val="22"/>
        </w:rPr>
        <w:t>In order to ensure fair and equitable charges to and premiums paid by subscribers of hospital service corporations, any method for paying hospitals which is contained in contracts between hospital service corporations and participating hospitals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Incentives for high productivity and disincentives that encourage efficiency in hospital operation and effectiveness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Provisions for economic trends;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Adjustments for variations in capacity among large hospitals and small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Control mechanisms on unnecessary utilization and inappropriate setting for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levels to hospitals which are equitable and meet reasonable financial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internal appeal mechanism for disputes relating to budget review.</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14.8.pdf" Type="http://schemas.openxmlformats.org/officeDocument/2006/relationships/hyperlink" Id="rId4"/>
    <Relationship TargetMode="External" Target="https://www.legis.iowa.gov/docs/ico/chapter/51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