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191—100.41</w:t>
      </w:r>
      <w:r>
        <w:rPr>
          <w:rFonts w:ascii="Times New Roman" w:hAnsi="Times New Roman"/>
          <w:b/>
          <w:i w:val="false"/>
          <w:color w:val="000000"/>
          <w:sz w:val="22"/>
        </w:rPr>
        <w:t xml:space="preserve">(523A) </w:t>
      </w:r>
      <w:r>
        <w:rPr>
          <w:rFonts w:ascii="Times New Roman" w:hAnsi="Times New Roman"/>
          <w:b/>
          <w:i w:val="false"/>
          <w:color w:val="000000"/>
          <w:sz w:val="22"/>
        </w:rPr>
        <w:t xml:space="preserve">Disciplinary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The commissioner is authorized by Iowa Code sections </w:t>
      </w:r>
      <w:hyperlink r:id="rId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xml:space="preserve"> to conduct such investigations as the commissioner deems necessary to determine whether any person has violated or is about to violate Iowa Code chapter </w:t>
      </w:r>
      <w:hyperlink r:id="rId6">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The commissioner is authorized to issue and enforce subpoenas to compel testimony and to compel the production of books and records, as more fully described in Iowa Code section </w:t>
      </w:r>
      <w:hyperlink r:id="rId7">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xml:space="preserve">. Upon the commissioner’s determination that probable cause exists to commence a disciplinary proceeding, the procedures contained in </w:t>
      </w:r>
      <w:hyperlink r:id="rId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100.41(2)</w:t>
      </w:r>
      <w:r>
        <w:rPr>
          <w:rFonts w:ascii="Times New Roman" w:hAnsi="Times New Roman"/>
          <w:b w:val="false"/>
          <w:i w:val="false"/>
          <w:color w:val="000000"/>
          <w:sz w:val="22"/>
        </w:rPr>
        <w:t> </w:t>
      </w:r>
      <w:r>
        <w:rPr>
          <w:rFonts w:ascii="Times New Roman" w:hAnsi="Times New Roman"/>
          <w:b w:val="false"/>
          <w:i/>
          <w:color w:val="000000"/>
          <w:sz w:val="22"/>
        </w:rPr>
        <w:t xml:space="preserve">Legal relationship of sales agent to preneed seller. </w:t>
      </w:r>
      <w:r>
        <w:rPr>
          <w:rFonts w:ascii="Times New Roman" w:hAnsi="Times New Roman"/>
          <w:b w:val="false"/>
          <w:i w:val="false"/>
          <w:color w:val="000000"/>
          <w:sz w:val="22"/>
        </w:rPr>
        <w:t xml:space="preserve">For purposes of Iowa Code section </w:t>
      </w:r>
      <w:hyperlink r:id="rId9">
        <w:r>
          <w:rPr>
            <w:rStyle w:val="Hyperlink"/>
            <w:rFonts w:ascii="Times New Roman" w:hAnsi="Times New Roman"/>
            <w:b w:val="false"/>
            <w:i w:val="false"/>
            <w:color w:val="000000"/>
            <w:sz w:val="22"/>
          </w:rPr>
          <w:t>523A.502(1)</w:t>
        </w:r>
      </w:hyperlink>
      <w:r>
        <w:rPr>
          <w:rFonts w:ascii="Times New Roman" w:hAnsi="Times New Roman"/>
          <w:b w:val="false"/>
          <w:i w:val="false"/>
          <w:color w:val="000000"/>
          <w:sz w:val="22"/>
        </w:rPr>
        <w:t>, a sales agent offering preneed services on behalf of a preneed seller is deemed to have a legal relationship as an agent of the preneed seller. The determination of whether a sales agent and a preneed seller have a principal-agent relationship will be made by the commissioner based on the totality of the circumstances surrounding the business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100.41(3)</w:t>
      </w:r>
      <w:r>
        <w:rPr>
          <w:rFonts w:ascii="Times New Roman" w:hAnsi="Times New Roman"/>
          <w:b w:val="false"/>
          <w:i w:val="false"/>
          <w:color w:val="000000"/>
          <w:sz w:val="22"/>
        </w:rPr>
        <w:t> </w:t>
      </w:r>
      <w:r>
        <w:rPr>
          <w:rFonts w:ascii="Times New Roman" w:hAnsi="Times New Roman"/>
          <w:b w:val="false"/>
          <w:i/>
          <w:color w:val="000000"/>
          <w:sz w:val="22"/>
        </w:rPr>
        <w:t xml:space="preserve">Factors used to determine whether a preneed seller has agreed to provide merchandise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lack of a mutual agreement has been appropriately documented in the preneed seller’s preneed purchaser file records, a preneed seller has agreed “to furnish cemetery merchandise, funeral merchandise, funeral services, or a combination thereof” and received an “initial payment,” for purposes of establishing a “purchase agreement,” as defined by Iowa Code section </w:t>
      </w:r>
      <w:hyperlink r:id="rId10">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 xml:space="preserve">,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sales agent of the preneed seller has met in person, or had an interactive discussion by telephone or another form of electronic communication, and discussed specific items of merchandise or services and the price of the applicable merchandise or services with a potential purchaser and the potential purchaser did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Transferred ownership of insurance to the preneed seller,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Assigned proceeds of insurance to the preneed seller,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Established a financial account made payable on death to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sales agent of the preneed seller has met in person, or had an interactive discussion by telephone or another electronic communication, and discussed specific items of merchandise or services and the applicable prices with the owner of a financial account for which the preneed seller has been named as the pay-on-death beneficiary to receive funds upon the death of the owner of the financial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documents retained in the preneed seller’s records may rebut the presumption that a purchase agreement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100.41(4)</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Persons violating Iowa Code chapter </w:t>
      </w:r>
      <w:hyperlink r:id="rId1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this chapter, or any associated rules or implementing orders may be subject to one or more of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3/10/21</w:t>
      </w:r>
      <w:r>
        <w:rPr>
          <w:rFonts w:ascii="Times New Roman" w:hAnsi="Times New Roman"/>
          <w:b w:val="false"/>
          <w:i w:val="false"/>
          <w:color w:val="000000"/>
          <w:sz w:val="22"/>
        </w:rPr>
        <w:t>, effective 4/14/21.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commissioner issues or renews a license and subsequently determines that the payment method was declined or returned without payment to the commissioner, the license shall be immediately placed on restricted status until the payments are made and any fees or penalties charged by the commissioner are paid, at which time the license may be reinstated at the request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the disciplinary sanctions of Iowa Code chapter </w:t>
      </w:r>
      <w:hyperlink r:id="rId1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and of this chapter, alone or in combination, against a preneed seller or sales agent, or as a condition of licensure of an applicant for a preneed seller license or sales agent license or as a condition of renewal of a license. Sanctions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Issuing a warning letter or a letter of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Requiring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certain specified procedures or methods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Ordering the payment of consumer restitution.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Placing a licensee on probationary status with or without the imposition of reasonable conditions to control or monitor conduct, such as periodic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Imposing costs associated with the commissioner’s investigation and enforcement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Imposing any other sanction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with a restricted or expired license is subject to disciplinary action, injunctive action, criminal sanctions and any other available legal remedies in the event of any violation of Iowa Code chapter </w:t>
      </w:r>
      <w:hyperlink r:id="rId13">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or any rules adopted or orders issued pursuant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co/chapter/523A.803.pdf" Type="http://schemas.openxmlformats.org/officeDocument/2006/relationships/hyperlink" Id="rId5"/>
    <Relationship TargetMode="External" Target="https://www.legis.iowa.gov/docs/ico/chapter/523A.pdf" Type="http://schemas.openxmlformats.org/officeDocument/2006/relationships/hyperlink" Id="rId6"/>
    <Relationship TargetMode="External" Target="https://www.legis.iowa.gov/docs/ico/chapter/523A.803.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co/chapter/523A.502.pdf" Type="http://schemas.openxmlformats.org/officeDocument/2006/relationships/hyperlink" Id="rId9"/>
    <Relationship TargetMode="External" Target="https://www.legis.iowa.gov/docs/ico/chapter/523A.102.pdf" Type="http://schemas.openxmlformats.org/officeDocument/2006/relationships/hyperlink" Id="rId10"/>
    <Relationship TargetMode="External" Target="https://www.legis.iowa.gov/docs/ico/chapter/523A.pdf" Type="http://schemas.openxmlformats.org/officeDocument/2006/relationships/hyperlink" Id="rId11"/>
    <Relationship TargetMode="External" Target="https://www.legis.iowa.gov/docs/ico/chapter/523A.pdf" Type="http://schemas.openxmlformats.org/officeDocument/2006/relationships/hyperlink" Id="rId12"/>
    <Relationship TargetMode="External" Target="https://www.legis.iowa.gov/docs/ico/chapter/523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