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191—100.13</w:t>
      </w:r>
      <w:r>
        <w:rPr>
          <w:rFonts w:ascii="Times New Roman" w:hAnsi="Times New Roman"/>
          <w:b/>
          <w:i w:val="false"/>
          <w:color w:val="000000"/>
          <w:sz w:val="22"/>
        </w:rPr>
        <w:t xml:space="preserve">(523A) </w:t>
      </w:r>
      <w:r>
        <w:rPr>
          <w:rFonts w:ascii="Times New Roman" w:hAnsi="Times New Roman"/>
          <w:b/>
          <w:i w:val="false"/>
          <w:color w:val="000000"/>
          <w:sz w:val="22"/>
        </w:rPr>
        <w:t xml:space="preserve">Approval and denial of license applications; issuance of license.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100.13(1)</w:t>
      </w:r>
      <w:r>
        <w:rPr>
          <w:rFonts w:ascii="Times New Roman" w:hAnsi="Times New Roman"/>
          <w:b w:val="false"/>
          <w:i w:val="false"/>
          <w:color w:val="000000"/>
          <w:sz w:val="22"/>
        </w:rPr>
        <w:t> </w:t>
      </w:r>
      <w:r>
        <w:rPr>
          <w:rFonts w:ascii="Times New Roman" w:hAnsi="Times New Roman"/>
          <w:b w:val="false"/>
          <w:i/>
          <w:color w:val="000000"/>
          <w:sz w:val="22"/>
        </w:rPr>
        <w:t xml:space="preserve">Approval of license application. </w:t>
      </w:r>
      <w:r>
        <w:rPr>
          <w:rFonts w:ascii="Times New Roman" w:hAnsi="Times New Roman"/>
          <w:b w:val="false"/>
          <w:i w:val="false"/>
          <w:color w:val="000000"/>
          <w:sz w:val="22"/>
        </w:rPr>
        <w:t>If the commissioner approves a license application, the commissioner shall issue a license, the term of which shall begin the day the license is issued and end April 15.</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100.13(2)</w:t>
      </w:r>
      <w:r>
        <w:rPr>
          <w:rFonts w:ascii="Times New Roman" w:hAnsi="Times New Roman"/>
          <w:b w:val="false"/>
          <w:i w:val="false"/>
          <w:color w:val="000000"/>
          <w:sz w:val="22"/>
        </w:rPr>
        <w:t> </w:t>
      </w:r>
      <w:r>
        <w:rPr>
          <w:rFonts w:ascii="Times New Roman" w:hAnsi="Times New Roman"/>
          <w:b w:val="false"/>
          <w:i/>
          <w:color w:val="000000"/>
          <w:sz w:val="22"/>
        </w:rPr>
        <w:t xml:space="preserve">License denial. </w:t>
      </w:r>
      <w:r>
        <w:rPr>
          <w:rFonts w:ascii="Times New Roman" w:hAnsi="Times New Roman"/>
          <w:b w:val="false"/>
          <w:i w:val="false"/>
          <w:color w:val="000000"/>
          <w:sz w:val="22"/>
        </w:rPr>
        <w:t xml:space="preserve">The commissioner may deny a license application based on information received during the application process, on any ground listed in Iowa Code section </w:t>
      </w:r>
      <w:hyperlink r:id="rId4">
        <w:r>
          <w:rPr>
            <w:rStyle w:val="Hyperlink"/>
            <w:rFonts w:ascii="Times New Roman" w:hAnsi="Times New Roman"/>
            <w:b w:val="false"/>
            <w:i w:val="false"/>
            <w:color w:val="000000"/>
            <w:sz w:val="22"/>
          </w:rPr>
          <w:t>523A.503</w:t>
        </w:r>
      </w:hyperlink>
      <w:r>
        <w:rPr>
          <w:rFonts w:ascii="Times New Roman" w:hAnsi="Times New Roman"/>
          <w:b w:val="false"/>
          <w:i w:val="false"/>
          <w:color w:val="000000"/>
          <w:sz w:val="22"/>
        </w:rPr>
        <w:t xml:space="preserve"> or rules </w:t>
      </w:r>
      <w:hyperlink r:id="rId5">
        <w:r>
          <w:rPr>
            <w:rStyle w:val="Hyperlink"/>
            <w:rFonts w:ascii="Times New Roman" w:hAnsi="Times New Roman"/>
            <w:b w:val="false"/>
            <w:i w:val="false"/>
            <w:color w:val="000000"/>
            <w:sz w:val="22"/>
          </w:rPr>
          <w:t>191—100.16</w:t>
        </w:r>
      </w:hyperlink>
      <w:r>
        <w:rPr>
          <w:rFonts w:ascii="Times New Roman" w:hAnsi="Times New Roman"/>
          <w:b w:val="false"/>
          <w:i w:val="false"/>
          <w:color w:val="000000"/>
          <w:sz w:val="22"/>
        </w:rPr>
        <w:t xml:space="preserve">(523A) and </w:t>
      </w:r>
      <w:hyperlink r:id="rId6">
        <w:r>
          <w:rPr>
            <w:rStyle w:val="Hyperlink"/>
            <w:rFonts w:ascii="Times New Roman" w:hAnsi="Times New Roman"/>
            <w:b w:val="false"/>
            <w:i w:val="false"/>
            <w:color w:val="000000"/>
            <w:sz w:val="22"/>
          </w:rPr>
          <w:t>191—100.40</w:t>
        </w:r>
      </w:hyperlink>
      <w:r>
        <w:rPr>
          <w:rFonts w:ascii="Times New Roman" w:hAnsi="Times New Roman"/>
          <w:b w:val="false"/>
          <w:i w:val="false"/>
          <w:color w:val="000000"/>
          <w:sz w:val="22"/>
        </w:rPr>
        <w:t>(523A).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Notice of denial. </w:t>
      </w:r>
      <w:r>
        <w:rPr>
          <w:rFonts w:ascii="Times New Roman" w:hAnsi="Times New Roman"/>
          <w:b w:val="false"/>
          <w:i w:val="false"/>
          <w:color w:val="000000"/>
          <w:sz w:val="22"/>
        </w:rPr>
        <w:t>When the commissioner denies an application for a preneed seller or sales agent license, the commissioner shall send a denial letter to the applicant by certified mail, return receipt requested, or in the manner of service of an original notice. The denial letter shall serve as notice of the denial and shall explain why the commissioner denied the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Appeal. </w:t>
      </w:r>
      <w:r>
        <w:rPr>
          <w:rFonts w:ascii="Times New Roman" w:hAnsi="Times New Roman"/>
          <w:b w:val="false"/>
          <w:i w:val="false"/>
          <w:color w:val="000000"/>
          <w:sz w:val="22"/>
        </w:rPr>
        <w:t xml:space="preserve">An applicant that desires to contest the denial of an application may request a contested case proceeding pursuant to </w:t>
      </w:r>
      <w:hyperlink r:id="rId7">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within 30 calendar days of the date the notice of denial is mailed. A failure to timely request a hearing constitutes failure to exhaust administrative remedies. License denial hearings under this chapter shall be conducted pursuant to </w:t>
      </w:r>
      <w:hyperlink r:id="rId8">
        <w:r>
          <w:rPr>
            <w:rStyle w:val="Hyperlink"/>
            <w:rFonts w:ascii="Times New Roman" w:hAnsi="Times New Roman"/>
            <w:b w:val="false"/>
            <w:i w:val="false"/>
            <w:color w:val="000000"/>
            <w:sz w:val="22"/>
          </w:rPr>
          <w:t>7—Chapter 2506</w:t>
        </w:r>
      </w:hyperlink>
      <w:r>
        <w:rPr>
          <w:rFonts w:ascii="Times New Roman" w:hAnsi="Times New Roman"/>
          <w:b w:val="false"/>
          <w:i w:val="false"/>
          <w:color w:val="000000"/>
          <w:sz w:val="22"/>
        </w:rPr>
        <w:t xml:space="preserve">. License denial hearings and all documents related thereto are contested cases open to the public pursuant to Iowa Code chapters </w:t>
      </w:r>
      <w:hyperlink r:id="rId9">
        <w:r>
          <w:rPr>
            <w:rStyle w:val="Hyperlink"/>
            <w:rFonts w:ascii="Times New Roman" w:hAnsi="Times New Roman"/>
            <w:b w:val="false"/>
            <w:i w:val="false"/>
            <w:color w:val="000000"/>
            <w:sz w:val="22"/>
          </w:rPr>
          <w:t>17A</w:t>
        </w:r>
      </w:hyperlink>
      <w:r>
        <w:rPr>
          <w:rFonts w:ascii="Times New Roman" w:hAnsi="Times New Roman"/>
          <w:b w:val="false"/>
          <w:i w:val="false"/>
          <w:color w:val="000000"/>
          <w:sz w:val="22"/>
        </w:rPr>
        <w:t xml:space="preserve"> and </w:t>
      </w:r>
      <w:hyperlink r:id="rId10">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While each party shall have the burden of establishing the matters asserted, the applicant shall have the ultimate burden of persuasion as to the applicant’s qualification for licensure.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2258C</w:t>
      </w:r>
      <w:r>
        <w:rPr>
          <w:rFonts w:ascii="Times New Roman" w:hAnsi="Times New Roman"/>
          <w:b w:val="false"/>
          <w:i w:val="false"/>
          <w:color w:val="000000"/>
          <w:sz w:val="16"/>
        </w:rPr>
        <w:t>, IAB 11/25/15, effective 12/30/15</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8/19/26</w:t>
      </w:r>
      <w:r>
        <w:rPr>
          <w:rFonts w:ascii="Times New Roman" w:hAnsi="Times New Roman"/>
          <w:b w:val="false"/>
          <w:i w:val="false"/>
          <w:color w:val="000000"/>
          <w:sz w:val="16"/>
        </w:rPr>
        <w:t>]</w:t>
      </w:r>
    </w:p>
    <w:sectPr>
      <w:footerReference r:id="rId11"/>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523A.503.pdf" Type="http://schemas.openxmlformats.org/officeDocument/2006/relationships/hyperlink" Id="rId4"/>
    <Relationship TargetMode="External" Target="https://www.legis.iowa.gov/docs/iac/rule/191.100.16.pdf" Type="http://schemas.openxmlformats.org/officeDocument/2006/relationships/hyperlink" Id="rId5"/>
    <Relationship TargetMode="External" Target="https://www.legis.iowa.gov/docs/iac/rule/191.100.40.pdf" Type="http://schemas.openxmlformats.org/officeDocument/2006/relationships/hyperlink" Id="rId6"/>
    <Relationship TargetMode="External" Target="https://www.legis.iowa.gov/docs/iac/chapter/7.2506.pdf" Type="http://schemas.openxmlformats.org/officeDocument/2006/relationships/hyperlink" Id="rId7"/>
    <Relationship TargetMode="External" Target="https://www.legis.iowa.gov/docs/iac/chapter/7.2506.pdf" Type="http://schemas.openxmlformats.org/officeDocument/2006/relationships/hyperlink" Id="rId8"/>
    <Relationship TargetMode="External" Target="https://www.legis.iowa.gov/docs/ico/chapter/17A.pdf" Type="http://schemas.openxmlformats.org/officeDocument/2006/relationships/hyperlink" Id="rId9"/>
    <Relationship TargetMode="External" Target="https://www.legis.iowa.gov/docs/ico/chapter/22.pdf" Type="http://schemas.openxmlformats.org/officeDocument/2006/relationships/hyperlink" Id="rId10"/>
    <Relationship Target="footer.xml" Type="http://schemas.openxmlformats.org/officeDocument/2006/relationships/footer" Id="rId11"/>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