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817—14.7</w:t>
      </w:r>
      <w:r>
        <w:rPr>
          <w:rFonts w:ascii="Times New Roman" w:hAnsi="Times New Roman"/>
          <w:b/>
          <w:i w:val="false"/>
          <w:color w:val="000000"/>
          <w:sz w:val="22"/>
        </w:rPr>
        <w:t xml:space="preserve">(15H) </w:t>
      </w:r>
      <w:r>
        <w:rPr>
          <w:rFonts w:ascii="Times New Roman" w:hAnsi="Times New Roman"/>
          <w:b/>
          <w:i w:val="false"/>
          <w:color w:val="000000"/>
          <w:sz w:val="22"/>
        </w:rPr>
        <w:t xml:space="preserve">Fraudulent practices in connection with approved national service corps programs. </w:t>
      </w:r>
      <w:r>
        <w:rPr>
          <w:rFonts w:ascii="Times New Roman" w:hAnsi="Times New Roman"/>
          <w:b w:val="false"/>
          <w:i w:val="false"/>
          <w:color w:val="000000"/>
          <w:sz w:val="22"/>
        </w:rPr>
        <w:t>A person is considered to be guilty of a fraudulent practice if the person knowingly falsifies information on an application for the purpose of obtaining approval and any other potential benefits, including those offered through the commission or other state contracts and grants available only to approved national service corps programs. The commission may investigate allegations or complaints of fraudulent practices and will take action to decertify a national service corps program upon concluding that a violation has occurred. A violation under this rule is grounds for decertification of the national service corps program responsible for the violation. Decertification will be in addition to any penalty otherwise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