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817—14.5</w:t>
      </w:r>
      <w:r>
        <w:rPr>
          <w:rFonts w:ascii="Times New Roman" w:hAnsi="Times New Roman"/>
          <w:b/>
          <w:i w:val="false"/>
          <w:color w:val="000000"/>
          <w:sz w:val="22"/>
        </w:rPr>
        <w:t xml:space="preserve">(15H) </w:t>
      </w:r>
      <w:r>
        <w:rPr>
          <w:rFonts w:ascii="Times New Roman" w:hAnsi="Times New Roman"/>
          <w:b/>
          <w:i w:val="false"/>
          <w:color w:val="000000"/>
          <w:sz w:val="22"/>
        </w:rPr>
        <w:t xml:space="preserve">Special consideration. </w:t>
      </w:r>
      <w:r>
        <w:rPr>
          <w:rFonts w:ascii="Times New Roman" w:hAnsi="Times New Roman"/>
          <w:b w:val="false"/>
          <w:i w:val="false"/>
          <w:color w:val="000000"/>
          <w:sz w:val="22"/>
        </w:rPr>
        <w:t xml:space="preserve">In addition to the standards set forth in rule </w:t>
      </w:r>
      <w:hyperlink r:id="rId4">
        <w:r>
          <w:rPr>
            <w:rStyle w:val="Hyperlink"/>
            <w:rFonts w:ascii="Times New Roman" w:hAnsi="Times New Roman"/>
            <w:b w:val="false"/>
            <w:i w:val="false"/>
            <w:color w:val="000000"/>
            <w:sz w:val="22"/>
          </w:rPr>
          <w:t>817—14.3</w:t>
        </w:r>
      </w:hyperlink>
      <w:r>
        <w:rPr>
          <w:rFonts w:ascii="Times New Roman" w:hAnsi="Times New Roman"/>
          <w:b w:val="false"/>
          <w:i w:val="false"/>
          <w:color w:val="000000"/>
          <w:sz w:val="22"/>
        </w:rPr>
        <w:t>(15H), the commission may consider other factors to determine approval status to ensure that only high-quality national service corps programs are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w:t>
      </w:r>
      <w:r>
        <w:rPr>
          <w:rFonts w:ascii="Times New Roman" w:hAnsi="Times New Roman"/>
          <w:b w:val="false"/>
          <w:i w:val="false"/>
          <w:color w:val="000000"/>
          <w:sz w:val="22"/>
        </w:rPr>
        <w:t> </w:t>
      </w:r>
      <w:r>
        <w:rPr>
          <w:rFonts w:ascii="Times New Roman" w:hAnsi="Times New Roman"/>
          <w:b w:val="false"/>
          <w:i/>
          <w:color w:val="000000"/>
          <w:sz w:val="22"/>
        </w:rPr>
        <w:t xml:space="preserve">On-site audits. </w:t>
      </w:r>
      <w:r>
        <w:rPr>
          <w:rFonts w:ascii="Times New Roman" w:hAnsi="Times New Roman"/>
          <w:b w:val="false"/>
          <w:i w:val="false"/>
          <w:color w:val="000000"/>
          <w:sz w:val="22"/>
        </w:rPr>
        <w:t>At the discretion of the commission, on-site audits may be conducted to determine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14.5(2)</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Programs that fail to submit required documentation are at risk of decertification and may be deemed ineligible to receive the benefits of approval, including complimentary training registration and inclusion on the commission’s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17.14.3.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