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817—14.4</w:t>
      </w:r>
      <w:r>
        <w:rPr>
          <w:rFonts w:ascii="Times New Roman" w:hAnsi="Times New Roman"/>
          <w:b/>
          <w:i w:val="false"/>
          <w:color w:val="000000"/>
          <w:sz w:val="22"/>
        </w:rPr>
        <w:t xml:space="preserve">(15H)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14.4(1)</w:t>
      </w:r>
      <w:r>
        <w:rPr>
          <w:rFonts w:ascii="Times New Roman" w:hAnsi="Times New Roman"/>
          <w:b w:val="false"/>
          <w:i w:val="false"/>
          <w:color w:val="000000"/>
          <w:sz w:val="22"/>
        </w:rPr>
        <w:t> </w:t>
      </w:r>
      <w:r>
        <w:rPr>
          <w:rFonts w:ascii="Times New Roman" w:hAnsi="Times New Roman"/>
          <w:b w:val="false"/>
          <w:i/>
          <w:color w:val="000000"/>
          <w:sz w:val="22"/>
        </w:rPr>
        <w:t xml:space="preserve">Sponsor organization approval process. </w:t>
      </w:r>
      <w:r>
        <w:rPr>
          <w:rFonts w:ascii="Times New Roman" w:hAnsi="Times New Roman"/>
          <w:b w:val="false"/>
          <w:i w:val="false"/>
          <w:color w:val="000000"/>
          <w:sz w:val="22"/>
        </w:rPr>
        <w:t>Eligible organizations may request approval using the application materials available through the commission’s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14.4(2)</w:t>
      </w:r>
      <w:r>
        <w:rPr>
          <w:rFonts w:ascii="Times New Roman" w:hAnsi="Times New Roman"/>
          <w:b w:val="false"/>
          <w:i w:val="false"/>
          <w:color w:val="000000"/>
          <w:sz w:val="22"/>
        </w:rPr>
        <w:t> </w:t>
      </w:r>
      <w:r>
        <w:rPr>
          <w:rFonts w:ascii="Times New Roman" w:hAnsi="Times New Roman"/>
          <w:b w:val="false"/>
          <w:i/>
          <w:color w:val="000000"/>
          <w:sz w:val="22"/>
        </w:rPr>
        <w:t xml:space="preserve">Iowa national service corps member process. </w:t>
      </w:r>
      <w:r>
        <w:rPr>
          <w:rFonts w:ascii="Times New Roman" w:hAnsi="Times New Roman"/>
          <w:b w:val="false"/>
          <w:i w:val="false"/>
          <w:color w:val="000000"/>
          <w:sz w:val="22"/>
        </w:rPr>
        <w:t>Prospective national service corps members should apply directly to an approved Iowa national service corps program. Prospective corps members must meet the approved program’s eligibility requirements and agree to the program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14.4(3)</w:t>
      </w:r>
      <w:r>
        <w:rPr>
          <w:rFonts w:ascii="Times New Roman" w:hAnsi="Times New Roman"/>
          <w:b w:val="false"/>
          <w:i w:val="false"/>
          <w:color w:val="000000"/>
          <w:sz w:val="22"/>
        </w:rPr>
        <w:t> </w:t>
      </w:r>
      <w:r>
        <w:rPr>
          <w:rFonts w:ascii="Times New Roman" w:hAnsi="Times New Roman"/>
          <w:b w:val="false"/>
          <w:i/>
          <w:color w:val="000000"/>
          <w:sz w:val="22"/>
        </w:rPr>
        <w:t xml:space="preserve">Applications. </w:t>
      </w:r>
      <w:r>
        <w:rPr>
          <w:rFonts w:ascii="Times New Roman" w:hAnsi="Times New Roman"/>
          <w:b w:val="false"/>
          <w:i w:val="false"/>
          <w:color w:val="000000"/>
          <w:sz w:val="22"/>
        </w:rPr>
        <w:t>Appropriate forms and applications for grants and eligibility preapproval are available from the commission’s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