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817—14.14</w:t>
      </w:r>
      <w:r>
        <w:rPr>
          <w:rFonts w:ascii="Times New Roman" w:hAnsi="Times New Roman"/>
          <w:b/>
          <w:i w:val="false"/>
          <w:color w:val="000000"/>
          <w:sz w:val="22"/>
        </w:rPr>
        <w:t xml:space="preserve">(15H) </w:t>
      </w:r>
      <w:r>
        <w:rPr>
          <w:rFonts w:ascii="Times New Roman" w:hAnsi="Times New Roman"/>
          <w:b/>
          <w:i w:val="false"/>
          <w:color w:val="000000"/>
          <w:sz w:val="22"/>
        </w:rPr>
        <w:t xml:space="preserve">Information specific to the Iowa summer youth corps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Incentives. </w:t>
      </w:r>
      <w:r>
        <w:rPr>
          <w:rFonts w:ascii="Times New Roman" w:hAnsi="Times New Roman"/>
          <w:b w:val="false"/>
          <w:i w:val="false"/>
          <w:color w:val="000000"/>
          <w:sz w:val="22"/>
        </w:rPr>
        <w:t>Incentives will be determined by federal funding guidelines or restrictions, depending on the source of funds utilized for the Iowa summer youth corps in a given grant year. Types of incentives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 awards that may be used to further educational attainment and that may be earned upon completion of a defined number of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Living allowances that are not considered wages but are paid evenly over the course of a service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Wages that are based upon the hours worked.</w:t>
      </w:r>
    </w:p>
    <w:p>
      <w:pPr>
        <w:spacing w:before="0" w:after="0"/>
        <w:ind w:left="120"/>
        <w:jc w:val="both"/>
      </w:pPr>
      <w:r>
        <w:rPr>
          <w:rFonts w:ascii="Times New Roman" w:hAnsi="Times New Roman"/>
          <w:b w:val="false"/>
          <w:i w:val="false"/>
          <w:color w:val="000000"/>
          <w:sz w:val="22"/>
        </w:rPr>
        <w:t>Types of incentives or combinations of incentives that may be used for a program design will be described in the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Grant criteria. </w:t>
      </w:r>
      <w:r>
        <w:rPr>
          <w:rFonts w:ascii="Times New Roman" w:hAnsi="Times New Roman"/>
          <w:b w:val="false"/>
          <w:i w:val="false"/>
          <w:color w:val="000000"/>
          <w:sz w:val="22"/>
        </w:rPr>
        <w:t>To respond to funding priorities, as funds are made available, the executive director of the commission will establish criteria consistent with federal regulations. If federal funds are being offered, applicants will be considered on a competitive basis. At a minimum, the criteria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Goals and objectives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Qualifications of the applicant to manage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new and recompeting applicants, letters of local support verifying coordination and communitywide cooperation;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Total project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previous grantees, evidence of ability to submit timely and 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and timeline of planned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Agreement to develop for the project a community partnership group whose membership should include a cross-section of the community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Description of the applicant organization, including staffing pattern;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ability to provide the required local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shall issue a request for applications containing project criteria and application forms for the appropriate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the completed application to the commission according to the timeline identified in the request for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submitted will be reviewed by a grant review committee composed of members of the commission grant review committee, individuals with expertise in youth programming, and the citizens of Iowa. Using the criteria in subrule </w:t>
      </w:r>
      <w:hyperlink r:id="rId4">
        <w:r>
          <w:rPr>
            <w:rStyle w:val="Hyperlink"/>
            <w:rFonts w:ascii="Times New Roman" w:hAnsi="Times New Roman"/>
            <w:b w:val="false"/>
            <w:i w:val="false"/>
            <w:color w:val="000000"/>
            <w:sz w:val="22"/>
          </w:rPr>
          <w:t>14.14(2)</w:t>
        </w:r>
      </w:hyperlink>
      <w:r>
        <w:rPr>
          <w:rFonts w:ascii="Times New Roman" w:hAnsi="Times New Roman"/>
          <w:b w:val="false"/>
          <w:i w:val="false"/>
          <w:color w:val="000000"/>
          <w:sz w:val="22"/>
        </w:rPr>
        <w:t>, the committee will review the applications for appropriateness and to determine the merit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whose projects have been selected for funding will be notified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14.14(4)</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 commission shall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progress and financial reports to the commission as outlined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Separate request for applications will only be issued when there are funds available for this program. To the extent allowable by federal regulations, summer youth corps will always be an acceptable program model for annual AmeriCorps grants and will be listed in the annual AmeriCorps program request for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17.14.1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