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817—13.5</w:t>
      </w:r>
      <w:r>
        <w:rPr>
          <w:rFonts w:ascii="Times New Roman" w:hAnsi="Times New Roman"/>
          <w:b/>
          <w:i w:val="false"/>
          <w:color w:val="000000"/>
          <w:sz w:val="22"/>
        </w:rPr>
        <w:t xml:space="preserve">(15H) </w:t>
      </w:r>
      <w:r>
        <w:rPr>
          <w:rFonts w:ascii="Times New Roman" w:hAnsi="Times New Roman"/>
          <w:b/>
          <w:i w:val="false"/>
          <w:color w:val="000000"/>
          <w:sz w:val="22"/>
        </w:rPr>
        <w:t xml:space="preserve">Subrecipient award process. </w:t>
      </w:r>
      <w:r>
        <w:rPr>
          <w:rFonts w:ascii="Times New Roman" w:hAnsi="Times New Roman"/>
          <w:b w:val="false"/>
          <w:i w:val="false"/>
          <w:color w:val="000000"/>
          <w:sz w:val="22"/>
        </w:rPr>
        <w:t>If the commission deems it necessary, the commission may seek subrecipients to carry out components of the program through the commission’s regular grant program application processes. The commission may also work with partner state agencies to assist in the administration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