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817—13.4</w:t>
      </w:r>
      <w:r>
        <w:rPr>
          <w:rFonts w:ascii="Times New Roman" w:hAnsi="Times New Roman"/>
          <w:b/>
          <w:i w:val="false"/>
          <w:color w:val="000000"/>
          <w:sz w:val="22"/>
        </w:rPr>
        <w:t xml:space="preserve">(15H) </w:t>
      </w:r>
      <w:r>
        <w:rPr>
          <w:rFonts w:ascii="Times New Roman" w:hAnsi="Times New Roman"/>
          <w:b/>
          <w:i w:val="false"/>
          <w:color w:val="000000"/>
          <w:sz w:val="22"/>
        </w:rPr>
        <w:t xml:space="preserve">Mentor request and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w:t>
      </w:r>
      <w:r>
        <w:rPr>
          <w:rFonts w:ascii="Times New Roman" w:hAnsi="Times New Roman"/>
          <w:b w:val="false"/>
          <w:i w:val="false"/>
          <w:color w:val="000000"/>
          <w:sz w:val="22"/>
        </w:rPr>
        <w:t> </w:t>
      </w:r>
      <w:r>
        <w:rPr>
          <w:rFonts w:ascii="Times New Roman" w:hAnsi="Times New Roman"/>
          <w:b w:val="false"/>
          <w:i/>
          <w:color w:val="000000"/>
          <w:sz w:val="22"/>
        </w:rPr>
        <w:t xml:space="preserve">Mentor request process. </w:t>
      </w:r>
      <w:r>
        <w:rPr>
          <w:rFonts w:ascii="Times New Roman" w:hAnsi="Times New Roman"/>
          <w:b w:val="false"/>
          <w:i w:val="false"/>
          <w:color w:val="000000"/>
          <w:sz w:val="22"/>
        </w:rPr>
        <w:t xml:space="preserve">Students may request a volunteer mentor through the commission’s website or partner agencies, including through referrals from high schools and eligible institutions. Eligible institutions must collaborate in the facilitation of this subrule by providing information on the mentor request process to all students who meet the criteria of Iowa Code sections </w:t>
      </w:r>
      <w:hyperlink r:id="rId4">
        <w:r>
          <w:rPr>
            <w:rStyle w:val="Hyperlink"/>
            <w:rFonts w:ascii="Times New Roman" w:hAnsi="Times New Roman"/>
            <w:b w:val="false"/>
            <w:i w:val="false"/>
            <w:color w:val="000000"/>
            <w:sz w:val="22"/>
          </w:rPr>
          <w:t>256.228</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256.229</w:t>
        </w:r>
      </w:hyperlink>
      <w:r>
        <w:rPr>
          <w:rFonts w:ascii="Times New Roman" w:hAnsi="Times New Roman"/>
          <w:b w:val="false"/>
          <w:i w:val="false"/>
          <w:color w:val="000000"/>
          <w:sz w:val="22"/>
        </w:rPr>
        <w:t>. The college student aid commission may enroll eligible students into the texting services whenever possible to facilitate overall student success and communication about career mentoring opportunities. Students may opt to not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13.4(2)</w:t>
      </w:r>
      <w:r>
        <w:rPr>
          <w:rFonts w:ascii="Times New Roman" w:hAnsi="Times New Roman"/>
          <w:b w:val="false"/>
          <w:i w:val="false"/>
          <w:color w:val="000000"/>
          <w:sz w:val="22"/>
        </w:rPr>
        <w:t> </w:t>
      </w:r>
      <w:r>
        <w:rPr>
          <w:rFonts w:ascii="Times New Roman" w:hAnsi="Times New Roman"/>
          <w:b w:val="false"/>
          <w:i/>
          <w:color w:val="000000"/>
          <w:sz w:val="22"/>
        </w:rPr>
        <w:t xml:space="preserve">Mentor application process. </w:t>
      </w:r>
      <w:r>
        <w:rPr>
          <w:rFonts w:ascii="Times New Roman" w:hAnsi="Times New Roman"/>
          <w:b w:val="false"/>
          <w:i w:val="false"/>
          <w:color w:val="000000"/>
          <w:sz w:val="22"/>
        </w:rPr>
        <w:t>Prospective mentors may apply to be a volunteer mentor through the commission’s website or through high schools, eligible institutions, or partner agencies or employers. These partner agencies may also enlist employers and other partners to help make direct mentoring connections with local mentoring cohorts. Prospective mentors must complete an application, consent to an Iowa division of criminal investigation criminal background check, attend orientation training and agree to the minimum commitment and guidelines outlined in the mentor/mentee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0473D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56.228.pdf" Type="http://schemas.openxmlformats.org/officeDocument/2006/relationships/hyperlink" Id="rId4"/>
    <Relationship TargetMode="External" Target="https://www.legis.iowa.gov/docs/ico/chapter/256.229.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