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817—13.3</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Mentor/mentee agreement. </w:t>
      </w:r>
      <w:r>
        <w:rPr>
          <w:rFonts w:ascii="Times New Roman" w:hAnsi="Times New Roman"/>
          <w:b w:val="false"/>
          <w:i w:val="false"/>
          <w:color w:val="000000"/>
          <w:sz w:val="22"/>
        </w:rPr>
        <w:t>All volunteer mentors and student mentees matched with a volunteer mentor must complete and sign a written agreement issued by the commission as part of the program enrollment process. This does not include students receiving texting services only. Agreements will include expectations on regular communication, appropriate conduct, utilization of the online platform and participation in any training or resources offered to improve the efficacy of the mentor-mentee relationship. Failure by either party to adhere to the agreement may result in dismissal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