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817—13.2</w:t>
      </w:r>
      <w:r>
        <w:rPr>
          <w:rFonts w:ascii="Times New Roman" w:hAnsi="Times New Roman"/>
          <w:b/>
          <w:i w:val="false"/>
          <w:color w:val="000000"/>
          <w:sz w:val="22"/>
        </w:rPr>
        <w:t xml:space="preserve">(15H) </w:t>
      </w:r>
      <w:r>
        <w:rPr>
          <w:rFonts w:ascii="Times New Roman" w:hAnsi="Times New Roman"/>
          <w:b/>
          <w:i w:val="false"/>
          <w:color w:val="000000"/>
          <w:sz w:val="22"/>
        </w:rPr>
        <w:t xml:space="preserve">Program standards, guidelines, and expectations. </w:t>
      </w:r>
      <w:r>
        <w:rPr>
          <w:rFonts w:ascii="Times New Roman" w:hAnsi="Times New Roman"/>
          <w:b w:val="false"/>
          <w:i w:val="false"/>
          <w:color w:val="000000"/>
          <w:sz w:val="22"/>
        </w:rPr>
        <w:t>The commission will maintain on its website standards, guidelines, and expectations for a productive and appropriate relationship between volunteer mentors and student mentees. Standards, guidelines, and expectations are aimed at helping students meet the last-dollar scholarship or grant program requirements, identify work-based learning opportunities, and make career-related connections that are advantageous to participants in the program through a healthy mentor-mentee relationship. Failure to adhere to the program standards may result in ineligibility to participate in the program. To the extent possible, volunteer mentors and student mentees will be matched based on sex, career aspirations, geography and mentor-to-mentee ratio.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