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801—7.2</w:t>
      </w:r>
      <w:r>
        <w:rPr>
          <w:rFonts w:ascii="Times New Roman" w:hAnsi="Times New Roman"/>
          <w:b/>
          <w:i w:val="false"/>
          <w:color w:val="000000"/>
          <w:sz w:val="22"/>
        </w:rPr>
        <w:t xml:space="preserve">(35A,35B) </w:t>
      </w:r>
      <w:r>
        <w:rPr>
          <w:rFonts w:ascii="Times New Roman" w:hAnsi="Times New Roman"/>
          <w:b/>
          <w:i w:val="false"/>
          <w:color w:val="000000"/>
          <w:sz w:val="22"/>
        </w:rPr>
        <w:t xml:space="preserve">County commission of veteran affairs training program. </w:t>
      </w:r>
      <w:r>
        <w:rPr>
          <w:rFonts w:ascii="Times New Roman" w:hAnsi="Times New Roman"/>
          <w:b w:val="false"/>
          <w:i w:val="false"/>
          <w:color w:val="000000"/>
          <w:sz w:val="22"/>
        </w:rPr>
        <w:t xml:space="preserve">The department provides training for county veterans service officers in accordance with Iowa Code section </w:t>
      </w:r>
      <w:hyperlink r:id="rId4">
        <w:r>
          <w:rPr>
            <w:rStyle w:val="Hyperlink"/>
            <w:rFonts w:ascii="Times New Roman" w:hAnsi="Times New Roman"/>
            <w:b w:val="false"/>
            <w:i w:val="false"/>
            <w:color w:val="000000"/>
            <w:sz w:val="22"/>
          </w:rPr>
          <w:t>35A.5(6)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7.2(1)</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veterans service officers shall do the following within one year of appointment or will be subject to removal from office as provided for in Iowa Code section </w:t>
      </w:r>
      <w:hyperlink r:id="rId5">
        <w:r>
          <w:rPr>
            <w:rStyle w:val="Hyperlink"/>
            <w:rFonts w:ascii="Times New Roman" w:hAnsi="Times New Roman"/>
            <w:b w:val="false"/>
            <w:i w:val="false"/>
            <w:color w:val="000000"/>
            <w:sz w:val="22"/>
          </w:rPr>
          <w:t>35B.6(1)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and maintain all certifications that are federally required and provide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training as directed by the commandant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Obtain and maintain a PIV card from the United States Department of Veterans Affairs as well as access to the Veterans Benefits Management System and provide the department with documentation. Upon request from a county commission of veteran affairs and based on extenuating circumstances, the commandant may extend the time frame for a veteran service officer to obtain a PIV card prior to being subject to removal from office. The decision of the commandant is final.</w:t>
      </w:r>
    </w:p>
    <w:p>
      <w:pPr>
        <w:spacing w:before="0" w:after="0"/>
        <w:ind w:left="120"/>
        <w:jc w:val="both"/>
      </w:pPr>
      <w:r>
        <w:rPr>
          <w:rFonts w:ascii="Times New Roman" w:hAnsi="Times New Roman"/>
          <w:b w:val="false"/>
          <w:i w:val="false"/>
          <w:color w:val="000000"/>
          <w:sz w:val="22"/>
        </w:rPr>
        <w:t>Counties shall submit to the department annually by July 30 all documentation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veterans service officers shall complete the following on an annual basis or will be subject to removal from office as provided for in Iowa Code section </w:t>
      </w:r>
      <w:hyperlink r:id="rId6">
        <w:r>
          <w:rPr>
            <w:rStyle w:val="Hyperlink"/>
            <w:rFonts w:ascii="Times New Roman" w:hAnsi="Times New Roman"/>
            <w:b w:val="false"/>
            <w:i w:val="false"/>
            <w:color w:val="000000"/>
            <w:sz w:val="22"/>
          </w:rPr>
          <w:t>35B.6(1)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all certifications that are federally required and annually provide documentation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all directives of the commandant of the Iowa department of veterans affairs regarding the completion of training or certification required for the person’s position under applicable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a PIV card from the United States Department of Veterans Affairs as well as access to the Veterans Benefits Management System.</w:t>
      </w:r>
    </w:p>
    <w:p>
      <w:pPr>
        <w:spacing w:before="0" w:after="0"/>
        <w:ind w:left="120"/>
        <w:jc w:val="both"/>
      </w:pPr>
      <w:r>
        <w:rPr>
          <w:rFonts w:ascii="Times New Roman" w:hAnsi="Times New Roman"/>
          <w:b w:val="false"/>
          <w:i w:val="false"/>
          <w:color w:val="000000"/>
          <w:sz w:val="22"/>
        </w:rPr>
        <w:t>Counties shall submit to the department annually by July 30 all documentation required by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7.2(3)</w:t>
      </w:r>
      <w:r>
        <w:rPr>
          <w:rFonts w:ascii="Times New Roman" w:hAnsi="Times New Roman"/>
          <w:b w:val="false"/>
          <w:i w:val="false"/>
          <w:color w:val="000000"/>
          <w:sz w:val="22"/>
        </w:rPr>
        <w:t> </w:t>
      </w:r>
      <w:r>
        <w:rPr>
          <w:rFonts w:ascii="Times New Roman" w:hAnsi="Times New Roman"/>
          <w:b w:val="false"/>
          <w:i w:val="false"/>
          <w:color w:val="000000"/>
          <w:sz w:val="22"/>
        </w:rPr>
        <w:t xml:space="preserve">County veterans service officers who fail to comply with subrules </w:t>
      </w:r>
      <w:hyperlink r:id="rId7">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xml:space="preserve"> shall be removed from their positions. Knowing violation of this provision constitutes noncompliance as provided in paragraph </w:t>
      </w:r>
      <w:hyperlink r:id="rId9">
        <w:r>
          <w:rPr>
            <w:rStyle w:val="Hyperlink"/>
            <w:rFonts w:ascii="Times New Roman" w:hAnsi="Times New Roman"/>
            <w:b w:val="false"/>
            <w:i w:val="false"/>
            <w:color w:val="000000"/>
            <w:sz w:val="22"/>
          </w:rPr>
          <w:t>7.1(4)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w:t>
      </w:r>
      <w:r>
        <w:rPr>
          <w:rFonts w:ascii="Times New Roman" w:hAnsi="Times New Roman"/>
          <w:b w:val="false"/>
          <w:i w:val="false"/>
          <w:color w:val="000000"/>
          <w:sz w:val="22"/>
        </w:rPr>
        <w:t> </w:t>
      </w:r>
      <w:r>
        <w:rPr>
          <w:rFonts w:ascii="Times New Roman" w:hAnsi="Times New Roman"/>
          <w:b w:val="false"/>
          <w:i w:val="false"/>
          <w:color w:val="000000"/>
          <w:sz w:val="22"/>
        </w:rPr>
        <w:t>The annual school of instruction and all associated training materials will be provided at the expense of the department and attendees will not be charged for participation in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7.2(5)</w:t>
      </w:r>
      <w:r>
        <w:rPr>
          <w:rFonts w:ascii="Times New Roman" w:hAnsi="Times New Roman"/>
          <w:b w:val="false"/>
          <w:i w:val="false"/>
          <w:color w:val="000000"/>
          <w:sz w:val="22"/>
        </w:rPr>
        <w:t> </w:t>
      </w:r>
      <w:r>
        <w:rPr>
          <w:rFonts w:ascii="Times New Roman" w:hAnsi="Times New Roman"/>
          <w:b w:val="false"/>
          <w:i w:val="false"/>
          <w:color w:val="000000"/>
          <w:sz w:val="22"/>
        </w:rPr>
        <w:t xml:space="preserve">Travel, meals, lodging, and miscellaneous expenses incurred while attending the annual school of instruction required by subrules </w:t>
      </w:r>
      <w:hyperlink r:id="rId10">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xml:space="preserve"> are the responsibility of the respective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7.2(6)</w:t>
      </w:r>
      <w:r>
        <w:rPr>
          <w:rFonts w:ascii="Times New Roman" w:hAnsi="Times New Roman"/>
          <w:b w:val="false"/>
          <w:i w:val="false"/>
          <w:color w:val="000000"/>
          <w:sz w:val="22"/>
        </w:rPr>
        <w:t> </w:t>
      </w:r>
      <w:r>
        <w:rPr>
          <w:rFonts w:ascii="Times New Roman" w:hAnsi="Times New Roman"/>
          <w:b w:val="false"/>
          <w:i w:val="false"/>
          <w:color w:val="000000"/>
          <w:sz w:val="22"/>
        </w:rPr>
        <w:t>Any cost of initial training, accreditation, and continuing training that uses state funds shall follow the department’s travel policy. The department’s travel policy overrides county-specific travel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7.2(7)</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maintain documentation regarding any school of instruction required by subrules </w:t>
      </w:r>
      <w:hyperlink r:id="rId12">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 including but not limited to agendas, presentation dates, attendees, certificate of satisfactory completion of accreditation or continuing education training, and the issuance of certificates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7.2(8)</w:t>
      </w:r>
      <w:r>
        <w:rPr>
          <w:rFonts w:ascii="Times New Roman" w:hAnsi="Times New Roman"/>
          <w:b w:val="false"/>
          <w:i w:val="false"/>
          <w:color w:val="000000"/>
          <w:sz w:val="22"/>
        </w:rPr>
        <w:t> </w:t>
      </w:r>
      <w:r>
        <w:rPr>
          <w:rFonts w:ascii="Times New Roman" w:hAnsi="Times New Roman"/>
          <w:b w:val="false"/>
          <w:i w:val="false"/>
          <w:color w:val="000000"/>
          <w:sz w:val="22"/>
        </w:rPr>
        <w:t>Inquiries regarding an annual school of instruction may be directed to the commandant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7.2(9)</w:t>
      </w:r>
      <w:r>
        <w:rPr>
          <w:rFonts w:ascii="Times New Roman" w:hAnsi="Times New Roman"/>
          <w:b w:val="false"/>
          <w:i w:val="false"/>
          <w:color w:val="000000"/>
          <w:sz w:val="22"/>
        </w:rPr>
        <w:t> </w:t>
      </w:r>
      <w:r>
        <w:rPr>
          <w:rFonts w:ascii="Times New Roman" w:hAnsi="Times New Roman"/>
          <w:b w:val="false"/>
          <w:i w:val="false"/>
          <w:color w:val="000000"/>
          <w:sz w:val="22"/>
        </w:rPr>
        <w:t>Disputes regarding the annual school of instruction, certificates of training, and related matters are reviewed by the commandant, who will render a decision within ten days of receipt of all relevant facts and supporting materials. The decision of the commandant is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0469D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5A.5.pdf" Type="http://schemas.openxmlformats.org/officeDocument/2006/relationships/hyperlink" Id="rId4"/>
    <Relationship TargetMode="External" Target="https://www.legis.iowa.gov/docs/ico/chapter/35B.6.pdf" Type="http://schemas.openxmlformats.org/officeDocument/2006/relationships/hyperlink" Id="rId5"/>
    <Relationship TargetMode="External" Target="https://www.legis.iowa.gov/docs/ico/chapter/35B.6.pdf" Type="http://schemas.openxmlformats.org/officeDocument/2006/relationships/hyperlink" Id="rId6"/>
    <Relationship TargetMode="External" Target="https://www.legis.iowa.gov/docs/iac/rule/801.7.2.pdf" Type="http://schemas.openxmlformats.org/officeDocument/2006/relationships/hyperlink" Id="rId7"/>
    <Relationship TargetMode="External" Target="https://www.legis.iowa.gov/docs/iac/rule/801.7.2.pdf" Type="http://schemas.openxmlformats.org/officeDocument/2006/relationships/hyperlink" Id="rId8"/>
    <Relationship TargetMode="External" Target="https://www.legis.iowa.gov/docs/iac/rule/801.7.1.pdf" Type="http://schemas.openxmlformats.org/officeDocument/2006/relationships/hyperlink" Id="rId9"/>
    <Relationship TargetMode="External" Target="https://www.legis.iowa.gov/docs/iac/rule/801.7.2.pdf" Type="http://schemas.openxmlformats.org/officeDocument/2006/relationships/hyperlink" Id="rId10"/>
    <Relationship TargetMode="External" Target="https://www.legis.iowa.gov/docs/iac/rule/801.7.2.pdf" Type="http://schemas.openxmlformats.org/officeDocument/2006/relationships/hyperlink" Id="rId11"/>
    <Relationship TargetMode="External" Target="https://www.legis.iowa.gov/docs/iac/rule/801.7.2.pdf" Type="http://schemas.openxmlformats.org/officeDocument/2006/relationships/hyperlink" Id="rId12"/>
    <Relationship TargetMode="External" Target="https://www.legis.iowa.gov/docs/iac/rule/801.7.2.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