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801—7.1</w:t>
      </w:r>
      <w:r>
        <w:rPr>
          <w:rFonts w:ascii="Times New Roman" w:hAnsi="Times New Roman"/>
          <w:b/>
          <w:i w:val="false"/>
          <w:color w:val="000000"/>
          <w:sz w:val="22"/>
        </w:rPr>
        <w:t xml:space="preserve">(35A,35B) </w:t>
      </w:r>
      <w:r>
        <w:rPr>
          <w:rFonts w:ascii="Times New Roman" w:hAnsi="Times New Roman"/>
          <w:b/>
          <w:i w:val="false"/>
          <w:color w:val="000000"/>
          <w:sz w:val="22"/>
        </w:rPr>
        <w:t xml:space="preserve">County commissions of veteran affairs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county commissions of veteran affairs fund is to assist county commissions of veteran affairs in complying with legislative requirements for employing a county veterans service officer who complies with all directives of the commandant of the Iowa department of veterans affairs regarding the completion of training or certification required for the person’s position under applicable state and federal law, maintains an active Personal Identification Verification (PIV) card necessary to access the Veterans Administration’s Veterans Benefit Management System, is employed in veterans affairs service for a minimum number of hours, and maintains an office in a location owned or leased by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color w:val="000000"/>
          <w:sz w:val="22"/>
        </w:rPr>
        <w:t xml:space="preserve">County training allocation amounts. </w:t>
      </w:r>
      <w:r>
        <w:rPr>
          <w:rFonts w:ascii="Times New Roman" w:hAnsi="Times New Roman"/>
          <w:b w:val="false"/>
          <w:i w:val="false"/>
          <w:color w:val="000000"/>
          <w:sz w:val="22"/>
        </w:rPr>
        <w:t xml:space="preserve">Counties requesting reimbursement from the department in accordance with Iowa Code section </w:t>
      </w:r>
      <w:hyperlink r:id="rId4">
        <w:r>
          <w:rPr>
            <w:rStyle w:val="Hyperlink"/>
            <w:rFonts w:ascii="Times New Roman" w:hAnsi="Times New Roman"/>
            <w:b w:val="false"/>
            <w:i w:val="false"/>
            <w:color w:val="000000"/>
            <w:sz w:val="22"/>
          </w:rPr>
          <w:t>35A.16(4)</w:t>
        </w:r>
      </w:hyperlink>
      <w:r>
        <w:rPr>
          <w:rFonts w:ascii="Times New Roman" w:hAnsi="Times New Roman"/>
          <w:b w:val="false"/>
          <w:i w:val="false"/>
          <w:color w:val="000000"/>
          <w:sz w:val="22"/>
        </w:rPr>
        <w:t xml:space="preserve"> will make their requests in accordance with state travel policies. Required supporting documentation for eligible expenses shall be submitted during the fiscal year up to the $3,000 annual allocation within 30 days of training completion but no later than June 30 of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color w:val="000000"/>
          <w:sz w:val="22"/>
        </w:rPr>
        <w:t xml:space="preserve">Allocation report. </w:t>
      </w:r>
      <w:r>
        <w:rPr>
          <w:rFonts w:ascii="Times New Roman" w:hAnsi="Times New Roman"/>
          <w:b w:val="false"/>
          <w:i w:val="false"/>
          <w:color w:val="000000"/>
          <w:sz w:val="22"/>
        </w:rPr>
        <w:t>Counties shall submit a written report to the department 30 days following the end of the fiscal year in which the allocation was received. The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of county veteran affairs services, including county population, verification of an office, hours of employment, and number of hours of veterans’ services provided by the county veterans service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county veterans service officer is performing required duties and maintaining qualifications and credentials pursuant to Iowa Code section </w:t>
      </w:r>
      <w:hyperlink r:id="rId5">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comprehensive summary of county veteran affairs expenditures for the fiscal year in which the allocation was received and the expenditures from the previous fiscal year.</w:t>
      </w:r>
    </w:p>
    <w:p>
      <w:pPr>
        <w:spacing w:before="0" w:after="0"/>
        <w:ind w:left="120"/>
        <w:jc w:val="both"/>
      </w:pPr>
      <w:r>
        <w:rPr>
          <w:rFonts w:ascii="Times New Roman" w:hAnsi="Times New Roman"/>
          <w:b w:val="false"/>
          <w:i w:val="false"/>
          <w:color w:val="000000"/>
          <w:sz w:val="22"/>
        </w:rPr>
        <w:t xml:space="preserve">Information provided in this report is used by the department to comply with rule </w:t>
      </w:r>
      <w:hyperlink r:id="rId6">
        <w:r>
          <w:rPr>
            <w:rStyle w:val="Hyperlink"/>
            <w:rFonts w:ascii="Times New Roman" w:hAnsi="Times New Roman"/>
            <w:b w:val="false"/>
            <w:i w:val="false"/>
            <w:color w:val="000000"/>
            <w:sz w:val="22"/>
          </w:rPr>
          <w:t>801—7.3(35A,35B)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color w:val="000000"/>
          <w:sz w:val="22"/>
        </w:rPr>
        <w:t xml:space="preserve">Recovery of funds. </w:t>
      </w:r>
      <w:r>
        <w:rPr>
          <w:rFonts w:ascii="Times New Roman" w:hAnsi="Times New Roman"/>
          <w:b w:val="false"/>
          <w:i w:val="false"/>
          <w:color w:val="000000"/>
          <w:sz w:val="22"/>
        </w:rPr>
        <w:t>The department is the entity charged with the recovery of county commissions of veteran affairs fund allocations from counties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Unauthorized use. </w:t>
      </w:r>
      <w:r>
        <w:rPr>
          <w:rFonts w:ascii="Times New Roman" w:hAnsi="Times New Roman"/>
          <w:b w:val="false"/>
          <w:i w:val="false"/>
          <w:color w:val="000000"/>
          <w:sz w:val="22"/>
        </w:rPr>
        <w:t xml:space="preserve">Counties expending a portion of the allocation on items that do not provide services to veterans pursuant to Iowa Code section </w:t>
      </w:r>
      <w:hyperlink r:id="rId7">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will be required to return the unauthorized funds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Maintenance of effort. </w:t>
      </w:r>
      <w:r>
        <w:rPr>
          <w:rFonts w:ascii="Times New Roman" w:hAnsi="Times New Roman"/>
          <w:b w:val="false"/>
          <w:i w:val="false"/>
          <w:color w:val="000000"/>
          <w:sz w:val="22"/>
        </w:rPr>
        <w:t xml:space="preserve">Counties not maintaining their previous fiscal year’s spending levels will be considered to have supplanted county funding with state allocation funds. Counties not complying with their maintenance of effort will be required to return the supplanted portion to the state of Iowa pursuant to Iowa Code section </w:t>
      </w:r>
      <w:hyperlink r:id="rId8">
        <w:r>
          <w:rPr>
            <w:rStyle w:val="Hyperlink"/>
            <w:rFonts w:ascii="Times New Roman" w:hAnsi="Times New Roman"/>
            <w:b w:val="false"/>
            <w:i w:val="false"/>
            <w:color w:val="000000"/>
            <w:sz w:val="22"/>
          </w:rPr>
          <w:t>35A.16(3)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 xml:space="preserve">Counties that are not in compliance with the requirements of Iowa Code section </w:t>
      </w:r>
      <w:hyperlink r:id="rId9">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on June 30 of each fiscal year will be required to return all moneys received during that fiscal year to the county commissions of veteran affairs fund pursuant to Iowa Code section </w:t>
      </w:r>
      <w:hyperlink r:id="rId10">
        <w:r>
          <w:rPr>
            <w:rStyle w:val="Hyperlink"/>
            <w:rFonts w:ascii="Times New Roman" w:hAnsi="Times New Roman"/>
            <w:b w:val="false"/>
            <w:i w:val="false"/>
            <w:color w:val="000000"/>
            <w:sz w:val="22"/>
          </w:rPr>
          <w:t>35A.16(3)</w:t>
        </w:r>
      </w:hyperlink>
      <w:r>
        <w:rPr>
          <w:rFonts w:ascii="Times New Roman" w:hAnsi="Times New Roman"/>
          <w:b w:val="false"/>
          <w:i w:val="false"/>
          <w:color w:val="000000"/>
          <w:sz w:val="22"/>
        </w:rPr>
        <w:t>. Counties that are deemed noncompliant due to the termination or resignation of an employee are not required to return the state allocation if an employee is hired within three months of the previous employee’s separation.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0469D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5A.16.pdf" Type="http://schemas.openxmlformats.org/officeDocument/2006/relationships/hyperlink" Id="rId4"/>
    <Relationship TargetMode="External" Target="https://www.legis.iowa.gov/docs/ico/chapter/35B.6.pdf" Type="http://schemas.openxmlformats.org/officeDocument/2006/relationships/hyperlink" Id="rId5"/>
    <Relationship TargetMode="External" Target="https://www.legis.iowa.gov/docs/iac/rule/801.7.3.pdf" Type="http://schemas.openxmlformats.org/officeDocument/2006/relationships/hyperlink" Id="rId6"/>
    <Relationship TargetMode="External" Target="https://www.legis.iowa.gov/docs/ico/chapter/35B.6.pdf" Type="http://schemas.openxmlformats.org/officeDocument/2006/relationships/hyperlink" Id="rId7"/>
    <Relationship TargetMode="External" Target="https://www.legis.iowa.gov/docs/ico/chapter/35A.16.pdf" Type="http://schemas.openxmlformats.org/officeDocument/2006/relationships/hyperlink" Id="rId8"/>
    <Relationship TargetMode="External" Target="https://www.legis.iowa.gov/docs/ico/chapter/35B.6.pdf" Type="http://schemas.openxmlformats.org/officeDocument/2006/relationships/hyperlink" Id="rId9"/>
    <Relationship TargetMode="External" Target="https://www.legis.iowa.gov/docs/ico/chapter/35A.16.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