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801—11.2</w:t>
      </w:r>
      <w:r>
        <w:rPr>
          <w:rFonts w:ascii="Times New Roman" w:hAnsi="Times New Roman"/>
          <w:b/>
          <w:i w:val="false"/>
          <w:color w:val="000000"/>
          <w:sz w:val="22"/>
        </w:rPr>
        <w:t xml:space="preserve">(35A)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an initial grant payment under this chapter, a veteran must submit an application to the department that includes documentation establishing either Iowa residency or eligibility as a nonresident pursuant to Iowa Code section </w:t>
      </w:r>
      <w:hyperlink r:id="rId4">
        <w:r>
          <w:rPr>
            <w:rStyle w:val="Hyperlink"/>
            <w:rFonts w:ascii="Times New Roman" w:hAnsi="Times New Roman"/>
            <w:b w:val="false"/>
            <w:i w:val="false"/>
            <w:color w:val="000000"/>
            <w:sz w:val="22"/>
          </w:rPr>
          <w:t>35A.14(1)</w:t>
        </w:r>
      </w:hyperlink>
      <w:r>
        <w:rPr>
          <w:rFonts w:ascii="Times New Roman" w:hAnsi="Times New Roman"/>
          <w:b w:val="false"/>
          <w:i w:val="false"/>
          <w:color w:val="000000"/>
          <w:sz w:val="22"/>
        </w:rPr>
        <w:t>. A veteran must also submit reasonably reliable documentation establishing eligibility,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Relevant military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DD Form 214, if discharged.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a subsequent incremental grant payment under this chapter, a veteran must submit additional documentation establishing continued qualifying hospitalization, medical care, or rehabilitation services for the injury.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An application for an initial or subsequent incremental grant payment under this chapter will be submitted by the veteran. If the veteran is incapacitated due to the injury, however, the application may be submitted on the veteran’s behalf by a close family member, such as a spouse or parent, or by an appropriate power of attorney. Grants payable under this chapter are paid only to the legal custody of the veteran.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A veteran may receive assistance in the application process by contacting the department office at 515.252.4698 or 800.838.4692.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val="false"/>
          <w:color w:val="000000"/>
          <w:sz w:val="22"/>
        </w:rPr>
        <w:t>For any qualifying injury sustained on or after January 1, 2027, the department must receive an initial application within two years of the date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val="false"/>
          <w:color w:val="000000"/>
          <w:sz w:val="22"/>
        </w:rPr>
        <w:t>Upon receiving an application for an initial or subsequent incremental grant, the department will, within 30 days, inform the applicant in writing that the application has been approved or denied or requires additional documentation establishing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0470D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