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801—11.1</w:t>
      </w:r>
      <w:r>
        <w:rPr>
          <w:rFonts w:ascii="Times New Roman" w:hAnsi="Times New Roman"/>
          <w:b/>
          <w:i w:val="false"/>
          <w:color w:val="000000"/>
          <w:sz w:val="22"/>
        </w:rPr>
        <w:t xml:space="preserve">(35A) </w:t>
      </w:r>
      <w:r>
        <w:rPr>
          <w:rFonts w:ascii="Times New Roman" w:hAnsi="Times New Roman"/>
          <w:b/>
          <w:i w:val="false"/>
          <w:color w:val="000000"/>
          <w:sz w:val="22"/>
        </w:rPr>
        <w:t xml:space="preserve">Grant amounts and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val="false"/>
          <w:color w:val="000000"/>
          <w:sz w:val="22"/>
        </w:rPr>
        <w:t xml:space="preserve">Grants paid by the department pursuant to Iowa Code section </w:t>
      </w:r>
      <w:hyperlink r:id="rId4">
        <w:r>
          <w:rPr>
            <w:rStyle w:val="Hyperlink"/>
            <w:rFonts w:ascii="Times New Roman" w:hAnsi="Times New Roman"/>
            <w:b w:val="false"/>
            <w:i w:val="false"/>
            <w:color w:val="000000"/>
            <w:sz w:val="22"/>
          </w:rPr>
          <w:t>35A.14</w:t>
        </w:r>
      </w:hyperlink>
      <w:r>
        <w:rPr>
          <w:rFonts w:ascii="Times New Roman" w:hAnsi="Times New Roman"/>
          <w:b w:val="false"/>
          <w:i w:val="false"/>
          <w:color w:val="000000"/>
          <w:sz w:val="22"/>
        </w:rPr>
        <w:t xml:space="preserve"> are paid in increments of $2,500, up to a maximum of $10,000.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val="false"/>
          <w:color w:val="000000"/>
          <w:sz w:val="22"/>
        </w:rPr>
        <w:t>An initial grant of $2,500 is payable to an eligible veteran who sustains an injury in the line of duty and, because of such injury, is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Medically evacuated from an operational theater to a military hospital for treatment;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Hospitalized at a military hospital for at least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val="false"/>
          <w:color w:val="000000"/>
          <w:sz w:val="22"/>
        </w:rPr>
        <w:t>After an initial grant is paid, subsequent grant payments of $2,500 are payable at 30-, 60-, and 90-day intervals thereafter if the veteran remains hospitalized or continues to receive medical care or rehabilitation services authorized by the military. Qualifying treatment or services must be provided in a location that is not the veteran’s home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val="false"/>
          <w:color w:val="000000"/>
          <w:sz w:val="22"/>
        </w:rPr>
        <w:t>A veteran remains eligible for the grant after discharge from the military so long as the veteran remains hospitalized or continues to receive medical treatment or rehabilitation services for the qualifying injury or illness.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0470D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5A.1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