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801—1.7</w:t>
      </w:r>
      <w:r>
        <w:rPr>
          <w:rFonts w:ascii="Times New Roman" w:hAnsi="Times New Roman"/>
          <w:b/>
          <w:i w:val="false"/>
          <w:color w:val="000000"/>
          <w:sz w:val="22"/>
        </w:rPr>
        <w:t xml:space="preserve">(17A,35,35A) </w:t>
      </w:r>
      <w:r>
        <w:rPr>
          <w:rFonts w:ascii="Times New Roman" w:hAnsi="Times New Roman"/>
          <w:b/>
          <w:i w:val="false"/>
          <w:color w:val="000000"/>
          <w:sz w:val="22"/>
        </w:rPr>
        <w:t xml:space="preserve">Final agency action. </w:t>
      </w:r>
      <w:r>
        <w:rPr>
          <w:rFonts w:ascii="Times New Roman" w:hAnsi="Times New Roman"/>
          <w:b w:val="false"/>
          <w:i w:val="false"/>
          <w:color w:val="000000"/>
          <w:sz w:val="22"/>
        </w:rPr>
        <w:t xml:space="preserve">Except as otherwise provided by law or by rule, and to the extent consistent with due process, any decision of the commission or the department affecting the rights, privileges, or entitlements of any person as provided in </w:t>
      </w:r>
      <w:hyperlink r:id="rId4">
        <w:r>
          <w:rPr>
            <w:rStyle w:val="Hyperlink"/>
            <w:rFonts w:ascii="Times New Roman" w:hAnsi="Times New Roman"/>
            <w:b w:val="false"/>
            <w:i w:val="false"/>
            <w:color w:val="000000"/>
            <w:sz w:val="22"/>
          </w:rPr>
          <w:t>801—Chapters 1</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17</w:t>
        </w:r>
      </w:hyperlink>
      <w:r>
        <w:rPr>
          <w:rFonts w:ascii="Times New Roman" w:hAnsi="Times New Roman"/>
          <w:b w:val="false"/>
          <w:i w:val="false"/>
          <w:color w:val="000000"/>
          <w:sz w:val="22"/>
        </w:rPr>
        <w:t xml:space="preserve"> constitutes final agency action. Any person aggrieved by such final agency action may pursue judicial review pursuant to Iowa Code section </w:t>
      </w:r>
      <w:hyperlink r:id="rId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0468D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801.1.pdf" Type="http://schemas.openxmlformats.org/officeDocument/2006/relationships/hyperlink" Id="rId4"/>
    <Relationship TargetMode="External" Target="https://www.legis.iowa.gov/docs/iac/chapter/801.17.pdf" Type="http://schemas.openxmlformats.org/officeDocument/2006/relationships/hyperlink" Id="rId5"/>
    <Relationship TargetMode="External" Target="https://www.legis.iowa.gov/docs/ico/chapter/17A.1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