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801—1.6</w:t>
      </w:r>
      <w:r>
        <w:rPr>
          <w:rFonts w:ascii="Times New Roman" w:hAnsi="Times New Roman"/>
          <w:b/>
          <w:i w:val="false"/>
          <w:color w:val="000000"/>
          <w:sz w:val="22"/>
        </w:rPr>
        <w:t xml:space="preserve">(35A,35B) </w:t>
      </w:r>
      <w:r>
        <w:rPr>
          <w:rFonts w:ascii="Times New Roman" w:hAnsi="Times New Roman"/>
          <w:b/>
          <w:i w:val="false"/>
          <w:color w:val="000000"/>
          <w:sz w:val="22"/>
        </w:rPr>
        <w:t xml:space="preserve">Armed forces graves registration. </w:t>
      </w:r>
      <w:r>
        <w:rPr>
          <w:rFonts w:ascii="Times New Roman" w:hAnsi="Times New Roman"/>
          <w:b w:val="false"/>
          <w:i w:val="false"/>
          <w:color w:val="000000"/>
          <w:sz w:val="22"/>
        </w:rPr>
        <w:t>Armed forces graves registration shall be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Duties of the funeral director. </w:t>
      </w:r>
      <w:r>
        <w:rPr>
          <w:rFonts w:ascii="Times New Roman" w:hAnsi="Times New Roman"/>
          <w:b w:val="false"/>
          <w:i w:val="false"/>
          <w:color w:val="000000"/>
          <w:sz w:val="22"/>
        </w:rPr>
        <w:t>The funeral director who contracts to inter the deceased veteran shall complete Armed Forces Graves Registration Record, Form 582-1002, in duplicate, forwarding the original and copy to the county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Duties of the county commission. </w:t>
      </w:r>
      <w:r>
        <w:rPr>
          <w:rFonts w:ascii="Times New Roman" w:hAnsi="Times New Roman"/>
          <w:b w:val="false"/>
          <w:i w:val="false"/>
          <w:color w:val="000000"/>
          <w:sz w:val="22"/>
        </w:rPr>
        <w:t xml:space="preserve">The county commission records the information alphabetically, and by description of location in the cemetery where the veteran is buried, in a book or other manner prescribed by the commission and kept for that purpose in the office of the county commission. The county commission forwards the original Armed Forces Graves Registration Record to the commandant at the address provided in subrule </w:t>
      </w:r>
      <w:hyperlink r:id="rId4">
        <w:r>
          <w:rPr>
            <w:rStyle w:val="Hyperlink"/>
            <w:rFonts w:ascii="Times New Roman" w:hAnsi="Times New Roman"/>
            <w:b w:val="false"/>
            <w:i w:val="false"/>
            <w:color w:val="000000"/>
            <w:sz w:val="22"/>
          </w:rPr>
          <w:t>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Where filed. </w:t>
      </w:r>
      <w:r>
        <w:rPr>
          <w:rFonts w:ascii="Times New Roman" w:hAnsi="Times New Roman"/>
          <w:b w:val="false"/>
          <w:i w:val="false"/>
          <w:color w:val="000000"/>
          <w:sz w:val="22"/>
        </w:rPr>
        <w:t>The original Armed Forces Graves Registration Record is filed at the office of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Additional Armed Forces Graves Registration Record forms may be obtained by contacting the commandant’s office in accordance with subrule </w:t>
      </w:r>
      <w:hyperlink r:id="rId5">
        <w:r>
          <w:rPr>
            <w:rStyle w:val="Hyperlink"/>
            <w:rFonts w:ascii="Times New Roman" w:hAnsi="Times New Roman"/>
            <w:b w:val="false"/>
            <w:i w:val="false"/>
            <w:color w:val="000000"/>
            <w:sz w:val="22"/>
          </w:rPr>
          <w:t>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35A.5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35B.19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0468D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3.pdf" Type="http://schemas.openxmlformats.org/officeDocument/2006/relationships/hyperlink" Id="rId4"/>
    <Relationship TargetMode="External" Target="https://www.legis.iowa.gov/docs/iac/rule/801.1.3.pdf" Type="http://schemas.openxmlformats.org/officeDocument/2006/relationships/hyperlink" Id="rId5"/>
    <Relationship TargetMode="External" Target="https://www.legis.iowa.gov/docs/ico/chapter/35A.5.pdf" Type="http://schemas.openxmlformats.org/officeDocument/2006/relationships/hyperlink" Id="rId6"/>
    <Relationship TargetMode="External" Target="https://www.legis.iowa.gov/docs/ico/chapter/35B.1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