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481—980.2</w:t>
      </w:r>
      <w:r>
        <w:rPr>
          <w:rFonts w:ascii="Times New Roman" w:hAnsi="Times New Roman"/>
          <w:b/>
          <w:i w:val="false"/>
          <w:color w:val="000000"/>
          <w:sz w:val="22"/>
        </w:rPr>
        <w:t xml:space="preserve">(155) </w:t>
      </w:r>
      <w:r>
        <w:rPr>
          <w:rFonts w:ascii="Times New Roman" w:hAnsi="Times New Roman"/>
          <w:b/>
          <w:i w:val="false"/>
          <w:color w:val="000000"/>
          <w:sz w:val="22"/>
        </w:rPr>
        <w:t xml:space="preserve">Requirements for licensure. </w:t>
      </w:r>
      <w:r>
        <w:rPr>
          <w:rFonts w:ascii="Times New Roman" w:hAnsi="Times New Roman"/>
          <w:b w:val="false"/>
          <w:i w:val="false"/>
          <w:color w:val="000000"/>
          <w:sz w:val="22"/>
        </w:rPr>
        <w:t>The following criteria shall apply to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980.2(1)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completed online application and pay the nonrefundable licensure fee specified in rule </w:t>
      </w:r>
      <w:hyperlink r:id="rId4">
        <w:r>
          <w:rPr>
            <w:rStyle w:val="Hyperlink"/>
            <w:rFonts w:ascii="Times New Roman" w:hAnsi="Times New Roman"/>
            <w:b w:val="false"/>
            <w:i w:val="false"/>
            <w:color w:val="000000"/>
            <w:sz w:val="22"/>
          </w:rPr>
          <w:t>481—507.10</w:t>
        </w:r>
      </w:hyperlink>
      <w:r>
        <w:rPr>
          <w:rFonts w:ascii="Times New Roman" w:hAnsi="Times New Roman"/>
          <w:b w:val="false"/>
          <w:i w:val="false"/>
          <w:color w:val="000000"/>
          <w:sz w:val="22"/>
        </w:rPr>
        <w:t>(147,155);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980.2(2)</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certification as an HSE through NAB;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980.2(3)</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Transcripts verifying a baccalaureate or postbaccalaureate degree sent directly from an accredited college or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Passing score on all required national NAB examinations and meeting all other licensure requirements to be approved to take all required national NAB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Completion of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Administrator training program supervised by a preceptor who meets the requirements outlined in rule </w:t>
      </w:r>
      <w:hyperlink r:id="rId5">
        <w:r>
          <w:rPr>
            <w:rStyle w:val="Hyperlink"/>
            <w:rFonts w:ascii="Times New Roman" w:hAnsi="Times New Roman"/>
            <w:b w:val="false"/>
            <w:i w:val="false"/>
            <w:color w:val="000000"/>
            <w:sz w:val="22"/>
          </w:rPr>
          <w:t>481—980.4</w:t>
        </w:r>
      </w:hyperlink>
      <w:r>
        <w:rPr>
          <w:rFonts w:ascii="Times New Roman" w:hAnsi="Times New Roman"/>
          <w:b w:val="false"/>
          <w:i w:val="false"/>
          <w:color w:val="000000"/>
          <w:sz w:val="22"/>
        </w:rPr>
        <w:t>(155);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Practicum in long-term health care completed through an accredited college or university;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2,080 hours of long-term health care administration or health-care-related experience in a nursing home may be approved by board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980.2(4)</w:t>
      </w:r>
      <w:r>
        <w:rPr>
          <w:rFonts w:ascii="Times New Roman" w:hAnsi="Times New Roman"/>
          <w:b w:val="false"/>
          <w:i w:val="false"/>
          <w:color w:val="000000"/>
          <w:sz w:val="22"/>
        </w:rPr>
        <w:t> </w:t>
      </w:r>
      <w:r>
        <w:rPr>
          <w:rFonts w:ascii="Times New Roman" w:hAnsi="Times New Roman"/>
          <w:b w:val="false"/>
          <w:i w:val="false"/>
          <w:color w:val="000000"/>
          <w:sz w:val="22"/>
        </w:rPr>
        <w:t>An applicant who has been licensed in another state will provide verification of license from the jurisdiction in which the applicant has most recently been licensed, sent directly from the jurisdiction to the board office. The applicant must also disclose any public or pending complaints against the applicant in any other jurisdiction. Web-based verification may be substituted for verification direct from the jurisdiction’s board office if it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9469C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see Delay note at end of chapter;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507.10.pdf" Type="http://schemas.openxmlformats.org/officeDocument/2006/relationships/hyperlink" Id="rId4"/>
    <Relationship TargetMode="External" Target="https://www.legis.iowa.gov/docs/iac/rule/481.980.4.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