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481—940.6</w:t>
      </w:r>
      <w:r>
        <w:rPr>
          <w:rFonts w:ascii="Times New Roman" w:hAnsi="Times New Roman"/>
          <w:b/>
          <w:i w:val="false"/>
          <w:color w:val="000000"/>
          <w:sz w:val="22"/>
        </w:rPr>
        <w:t xml:space="preserve">(157) </w:t>
      </w:r>
      <w:r>
        <w:rPr>
          <w:rFonts w:ascii="Times New Roman" w:hAnsi="Times New Roman"/>
          <w:b/>
          <w:i w:val="false"/>
          <w:color w:val="000000"/>
          <w:sz w:val="22"/>
        </w:rPr>
        <w:t xml:space="preserve">Licensure restrictions relating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940.6(1)</w:t>
      </w:r>
      <w:r>
        <w:rPr>
          <w:rFonts w:ascii="Times New Roman" w:hAnsi="Times New Roman"/>
          <w:b w:val="false"/>
          <w:i w:val="false"/>
          <w:color w:val="000000"/>
          <w:sz w:val="22"/>
        </w:rPr>
        <w:t> </w:t>
      </w:r>
      <w:r>
        <w:rPr>
          <w:rFonts w:ascii="Times New Roman" w:hAnsi="Times New Roman"/>
          <w:b w:val="false"/>
          <w:i w:val="false"/>
          <w:color w:val="000000"/>
          <w:sz w:val="22"/>
        </w:rPr>
        <w:t>A certified laser product or an intense pulsed light device shall only be used on surface epidermal layers of the skin except for hair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940.6(2)</w:t>
      </w:r>
      <w:r>
        <w:rPr>
          <w:rFonts w:ascii="Times New Roman" w:hAnsi="Times New Roman"/>
          <w:b w:val="false"/>
          <w:i w:val="false"/>
          <w:color w:val="000000"/>
          <w:sz w:val="22"/>
        </w:rPr>
        <w:t> </w:t>
      </w:r>
      <w:r>
        <w:rPr>
          <w:rFonts w:ascii="Times New Roman" w:hAnsi="Times New Roman"/>
          <w:b w:val="false"/>
          <w:i w:val="false"/>
          <w:color w:val="000000"/>
          <w:sz w:val="22"/>
        </w:rPr>
        <w:t>A laser hair removal product or an intense pulsed light device shall not be used on a minor unless the minor is accompanied by a parent or guardian and then shall be used only under general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licensed under Iowa Code chapter </w:t>
      </w:r>
      <w:hyperlink r:id="rId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shall not administer any practice of removing skin by means of a razor-edged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940.6(4)</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hair removal, manicuring and nail technology services shall not administer any procedure in which human tissue is cut, shaped, vaporized, or otherwise structurally altered, except for the use of a cuticle nipper.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940.6(5)</w:t>
      </w:r>
      <w:r>
        <w:rPr>
          <w:rFonts w:ascii="Times New Roman" w:hAnsi="Times New Roman"/>
          <w:b w:val="false"/>
          <w:i w:val="false"/>
          <w:color w:val="000000"/>
          <w:sz w:val="22"/>
        </w:rPr>
        <w:t> </w:t>
      </w:r>
      <w:r>
        <w:rPr>
          <w:rFonts w:ascii="Times New Roman" w:hAnsi="Times New Roman"/>
          <w:b w:val="false"/>
          <w:i w:val="false"/>
          <w:color w:val="000000"/>
          <w:sz w:val="22"/>
        </w:rPr>
        <w:t>Board-certified licensees providing shaving, microdermabrasion, chemical peels, laser or IPL hair removal treatments in an establishment shall not include any practice, activity, or treatment that constitutes the practice of medicine, osteopathic medicine, chiropractic or acupuncture.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940.6(6)</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Barbers and cosmetologists licensed prior to July 1, 2005, and licensed estheticians shall only perform medical aesthetic services in a medical spa under the delegation and supervision of a medical director as set forth by the Iowa board of medicine in rule </w:t>
      </w:r>
      <w:hyperlink r:id="rId5">
        <w:r>
          <w:rPr>
            <w:rStyle w:val="Hyperlink"/>
            <w:rFonts w:ascii="Times New Roman" w:hAnsi="Times New Roman"/>
            <w:b w:val="false"/>
            <w:i w:val="false"/>
            <w:color w:val="000000"/>
            <w:sz w:val="22"/>
          </w:rPr>
          <w:t>481—655.6</w:t>
        </w:r>
      </w:hyperlink>
      <w:r>
        <w:rPr>
          <w:rFonts w:ascii="Times New Roman" w:hAnsi="Times New Roman"/>
          <w:b w:val="false"/>
          <w:i w:val="false"/>
          <w:color w:val="000000"/>
          <w:sz w:val="22"/>
        </w:rPr>
        <w:t>(148,272C). The Iowa board of barbering and cosmetology arts and sciences does not license medical aestheticians.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940.6(7)</w:t>
      </w:r>
      <w:r>
        <w:rPr>
          <w:rFonts w:ascii="Times New Roman" w:hAnsi="Times New Roman"/>
          <w:b w:val="false"/>
          <w:i w:val="false"/>
          <w:color w:val="000000"/>
          <w:sz w:val="22"/>
        </w:rPr>
        <w:t> </w:t>
      </w:r>
      <w:r>
        <w:rPr>
          <w:rFonts w:ascii="Times New Roman" w:hAnsi="Times New Roman"/>
          <w:b w:val="false"/>
          <w:i w:val="false"/>
          <w:color w:val="000000"/>
          <w:sz w:val="22"/>
        </w:rPr>
        <w:t>Persons licensed under this chapter who provide apprenticeship programs must hold an active license sufficient to provide on-the-job training, must operate in an actively licensed establishment, and must comply with relevant Iowa office of apprenticeship laws and regulations for the operation of an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940.6(8)</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may only perform those services for which they possess the skill and knowledge required to perform the service in a professionally competent manner as set forth in Iowa Code chapter </w:t>
      </w:r>
      <w:hyperlink r:id="rId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the related administrative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7920C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ac/rule/481.655.6.pdf" Type="http://schemas.openxmlformats.org/officeDocument/2006/relationships/hyperlink" Id="rId5"/>
    <Relationship TargetMode="External" Target="https://www.legis.iowa.gov/docs/ico/chapter/15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