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481—901.5</w:t>
      </w:r>
      <w:r>
        <w:rPr>
          <w:rFonts w:ascii="Times New Roman" w:hAnsi="Times New Roman"/>
          <w:b/>
          <w:i w:val="false"/>
          <w:color w:val="000000"/>
          <w:sz w:val="22"/>
        </w:rPr>
        <w:t xml:space="preserve">(156) </w:t>
      </w:r>
      <w:r>
        <w:rPr>
          <w:rFonts w:ascii="Times New Roman" w:hAnsi="Times New Roman"/>
          <w:b/>
          <w:i w:val="false"/>
          <w:color w:val="000000"/>
          <w:sz w:val="22"/>
        </w:rPr>
        <w:t xml:space="preserve">Funeral establishment license or cremation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901.5(1)</w:t>
      </w:r>
      <w:r>
        <w:rPr>
          <w:rFonts w:ascii="Times New Roman" w:hAnsi="Times New Roman"/>
          <w:b w:val="false"/>
          <w:i w:val="false"/>
          <w:color w:val="000000"/>
          <w:sz w:val="22"/>
        </w:rPr>
        <w:t> </w:t>
      </w:r>
      <w:r>
        <w:rPr>
          <w:rFonts w:ascii="Times New Roman" w:hAnsi="Times New Roman"/>
          <w:b w:val="false"/>
          <w:i w:val="false"/>
          <w:color w:val="000000"/>
          <w:sz w:val="22"/>
        </w:rPr>
        <w:t>A place of business devoted to providing any aspect of mortuary science or cremation services will hold an establishment license issued by the board. An establishment license will not be issued more than 30 days prior to the opening of a new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funeral establishment or a cremation establishment will not be operated until it has obtained a license from the board. Each establishment will timely renew the license in order to continue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funeral or cremation establishment will surrender its license to the board if the establishment fails to engage in or ceases to engage in the business for which the license was issued, pursuant to Iowa Code section </w:t>
      </w:r>
      <w:hyperlink r:id="rId4">
        <w:r>
          <w:rPr>
            <w:rStyle w:val="Hyperlink"/>
            <w:rFonts w:ascii="Times New Roman" w:hAnsi="Times New Roman"/>
            <w:b w:val="false"/>
            <w:i w:val="false"/>
            <w:color w:val="000000"/>
            <w:sz w:val="22"/>
          </w:rPr>
          <w:t>156.15(2)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funeral or cremation establishment license is not transferable or assignable.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ownership will require the issuance of a new license. A change in ownership will be reported to the board prior to the date ownership will change or, in the case of change of ownership by death or other unexpected event, within 30 days following change of ownership. The board may request legal proof of the ownership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license will be issued for a specific physical location. A change in location or site of an establishment will require the submission of an application for a new license and payment of the fee required by </w:t>
      </w:r>
      <w:hyperlink r:id="rId5">
        <w:r>
          <w:rPr>
            <w:rStyle w:val="Hyperlink"/>
            <w:rFonts w:ascii="Times New Roman" w:hAnsi="Times New Roman"/>
            <w:b w:val="false"/>
            <w:i w:val="false"/>
            <w:color w:val="000000"/>
            <w:sz w:val="22"/>
          </w:rPr>
          <w:t>481—subrule 507.9(9)</w:t>
        </w:r>
      </w:hyperlink>
      <w:r>
        <w:rPr>
          <w:rFonts w:ascii="Times New Roman" w:hAnsi="Times New Roman"/>
          <w:b w:val="false"/>
          <w:i w:val="false"/>
          <w:color w:val="000000"/>
          <w:sz w:val="22"/>
        </w:rPr>
        <w:t>. A new establishment license must be issued prior to the commencement of business in a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change in the name of an establishment will be reported to the board within 30 days. The establishment owner will pay the fee for reissuing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change in address or of the funeral director in responsible charge will be reported to the board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will have an employment or other relationship with one or more licensed funeral directors who will perform all mortuary science services for which licensure as a funeral director is required by Iowa Code chapter </w:t>
      </w:r>
      <w:hyperlink r:id="rId6">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A cremation establishment is not, however, required to employ or contract with a funeral director on an ongoing basis because a cremation establishment will not offer services directly to the general public. When a funeral establishment has an employment or other relationship with multiple funeral directors, the funeral establishment will designate the funeral director who will be in responsible charge of all mortuary science services performed at the funeral establishment. The funeral establishment will report to the board any change of the funeral director in responsible charge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will not routinely issue more than one establishment license for a single location, but the board may do so if the multiple applicants provide proof, satisfactory to the board, that the establishments are wholly separate except for the sharing of facilities. If the board issues more than one establishment license for a single location, the licensees will ensure that the public will not be confused or deceived as to the establishment with which the public is interacting. A facility may have a funeral establishment license and a separate cremation establishment license at a single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establishment license will be displayed in a conspicuous place at the location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of these rules will constitute grounds for discipline pursuant to </w:t>
      </w:r>
      <w:hyperlink r:id="rId7">
        <w:r>
          <w:rPr>
            <w:rStyle w:val="Hyperlink"/>
            <w:rFonts w:ascii="Times New Roman" w:hAnsi="Times New Roman"/>
            <w:b w:val="false"/>
            <w:i w:val="false"/>
            <w:color w:val="000000"/>
            <w:sz w:val="22"/>
          </w:rPr>
          <w:t>481—Chapter 904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or civil penalties for unlicensed practice pursuant to </w:t>
      </w:r>
      <w:hyperlink r:id="rId9">
        <w:r>
          <w:rPr>
            <w:rStyle w:val="Hyperlink"/>
            <w:rFonts w:ascii="Times New Roman" w:hAnsi="Times New Roman"/>
            <w:b w:val="false"/>
            <w:i w:val="false"/>
            <w:color w:val="000000"/>
            <w:sz w:val="22"/>
          </w:rPr>
          <w:t>481—Chapter 905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901.5(2)</w:t>
      </w:r>
      <w:r>
        <w:rPr>
          <w:rFonts w:ascii="Times New Roman" w:hAnsi="Times New Roman"/>
          <w:b w:val="false"/>
          <w:i w:val="false"/>
          <w:color w:val="000000"/>
          <w:sz w:val="22"/>
        </w:rPr>
        <w:t> </w:t>
      </w:r>
      <w:r>
        <w:rPr>
          <w:rFonts w:ascii="Times New Roman" w:hAnsi="Times New Roman"/>
          <w:b w:val="false"/>
          <w:i w:val="false"/>
          <w:color w:val="000000"/>
          <w:sz w:val="22"/>
        </w:rPr>
        <w:t>A funeral establishment or cremation establishment will be subject to applicable local, state and federal health and environmental requirements and will obtain all necessary licenses and permits from the agencies with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901.5(3)</w:t>
      </w:r>
      <w:r>
        <w:rPr>
          <w:rFonts w:ascii="Times New Roman" w:hAnsi="Times New Roman"/>
          <w:b w:val="false"/>
          <w:i w:val="false"/>
          <w:color w:val="000000"/>
          <w:sz w:val="22"/>
        </w:rPr>
        <w:t> </w:t>
      </w:r>
      <w:r>
        <w:rPr>
          <w:rFonts w:ascii="Times New Roman" w:hAnsi="Times New Roman"/>
          <w:b w:val="false"/>
          <w:i w:val="false"/>
          <w:color w:val="000000"/>
          <w:sz w:val="22"/>
        </w:rPr>
        <w:t>License application. Complete an online application on the Iowa board of mortuary science website and pay the nonrefundable funeral or cremation application fee. If there is both a funeral establishment and a cremation establishment at the same location, two establishment license applications will be required, along with the payment of two establishment application fees. The application will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physical location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mailing address, telephone number, fax number and email address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home address and telephone number of the individual in charge who has the authority and responsibility for the establishment’s compliance with laws and rules pertaining to the operation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all owners and managers of the establishment (e.g., sole proprietor, partner, director, officer, managing partner, member, or shareholder with 10 percent or more of the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legal name of the establishment and all trade names, assumed names, or other names used by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signature of the responsible authority at the site of the establishment and an acknowledgment of the funeral director in responsible charge of mortuary science services at the funeral establishment that the funeral director is aware of and consents to the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names and license numbers of all funeral directors employed by or associated with the establishment through contract or otherwise who provide mortuary science services at or for the establishment. When a funeral establishment has an employment or other relationship with multiple funeral directors, the funeral establishment will designate the funeral director who will have responsible charge of all mortuary science services performed at the funeral establishment. No funeral establishment will be issued a license if it fails to designate the funeral director in responsible charge of the mortuary science services to be performed at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felony or misdemeanor convictions of the applicant and all owners and managing officers of the applicant (except minor traffic offenses with fines of less than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disciplinary actions against any professional or occupational license of the applicant by any jurisdiction including, but not limited to, disciplinary action by the Iowa insurance division under Iowa Code chapter </w:t>
      </w:r>
      <w:hyperlink r:id="rId10">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xml:space="preserve"> or action by the Federal Trade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Further information that the board may reasonably require, such as whether the establishment includes a preparation 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6.15.pdf" Type="http://schemas.openxmlformats.org/officeDocument/2006/relationships/hyperlink" Id="rId4"/>
    <Relationship TargetMode="External" Target="https://www.legis.iowa.gov/docs/iac/rule/481.507.9.pdf" Type="http://schemas.openxmlformats.org/officeDocument/2006/relationships/hyperlink" Id="rId5"/>
    <Relationship TargetMode="External" Target="https://www.legis.iowa.gov/docs/ico/chapter/156.pdf" Type="http://schemas.openxmlformats.org/officeDocument/2006/relationships/hyperlink" Id="rId6"/>
    <Relationship TargetMode="External" Target="https://www.legis.iowa.gov/docs/iac/chapter/481.904.pdf" Type="http://schemas.openxmlformats.org/officeDocument/2006/relationships/hyperlink" Id="rId7"/>
    <Relationship TargetMode="External" Target="https://www.legis.iowa.gov/docs/iac/chapter/481.504.pdf" Type="http://schemas.openxmlformats.org/officeDocument/2006/relationships/hyperlink" Id="rId8"/>
    <Relationship TargetMode="External" Target="https://www.legis.iowa.gov/docs/iac/chapter/481.905.pdf" Type="http://schemas.openxmlformats.org/officeDocument/2006/relationships/hyperlink" Id="rId9"/>
    <Relationship TargetMode="External" Target="https://www.legis.iowa.gov/docs/ico/chapter/523A.pdf" Type="http://schemas.openxmlformats.org/officeDocument/2006/relationships/hyperlink" Id="rId10"/>
    <Relationship TargetMode="External" Target="https://www.legis.iowa.gov/docs/ico/chapter/523I.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