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481—901.11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director license.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4">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 xml:space="preserve">(272C) and must apply for and be granted reactivation of the license in accordance with rule </w:t>
      </w:r>
      <w:hyperlink r:id="rId5">
        <w:r>
          <w:rPr>
            <w:rStyle w:val="Hyperlink"/>
            <w:rFonts w:ascii="Times New Roman" w:hAnsi="Times New Roman"/>
            <w:b w:val="false"/>
            <w:i w:val="false"/>
            <w:color w:val="000000"/>
            <w:sz w:val="22"/>
          </w:rPr>
          <w:t>481—901.10</w:t>
        </w:r>
      </w:hyperlink>
      <w:r>
        <w:rPr>
          <w:rFonts w:ascii="Times New Roman" w:hAnsi="Times New Roman"/>
          <w:b w:val="false"/>
          <w:i w:val="false"/>
          <w:color w:val="000000"/>
          <w:sz w:val="22"/>
        </w:rPr>
        <w:t>(17A,147,272C) prior to practicing as a funeral director in this state. The owner of a funeral home establishment whose establishment license has been revoked, suspended, or voluntarily surrendered must apply for and receive reinstatement of the establishment license and must apply for and be granted reactivation of the establishment license prior to reopening the funeral home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2.pdf" Type="http://schemas.openxmlformats.org/officeDocument/2006/relationships/hyperlink" Id="rId4"/>
    <Relationship TargetMode="External" Target="https://www.legis.iowa.gov/docs/iac/rule/481.901.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