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481—901.10</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 licensee will: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901.10(1)</w:t>
      </w:r>
      <w:r>
        <w:rPr>
          <w:rFonts w:ascii="Times New Roman" w:hAnsi="Times New Roman"/>
          <w:b w:val="false"/>
          <w:i w:val="false"/>
          <w:color w:val="000000"/>
          <w:sz w:val="22"/>
        </w:rPr>
        <w:t> </w:t>
      </w:r>
      <w:r>
        <w:rPr>
          <w:rFonts w:ascii="Times New Roman" w:hAnsi="Times New Roman"/>
          <w:b w:val="false"/>
          <w:i w:val="false"/>
          <w:color w:val="000000"/>
          <w:sz w:val="22"/>
        </w:rPr>
        <w:t>Complete an online reactivation application on the Iowa board of mortuary science website and pay the reactivation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901.10(2)</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as a funeral director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five years or less,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licensed in another jurisdiction, the applicant will submit a licensure verification document from every jurisdiction in which the applicant is or has been licensed that discloses if disciplinary action was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completion of 24 hours of continuing education that meets continuing education standards defined in rule </w:t>
      </w:r>
      <w:hyperlink r:id="rId4">
        <w:r>
          <w:rPr>
            <w:rStyle w:val="Hyperlink"/>
            <w:rFonts w:ascii="Times New Roman" w:hAnsi="Times New Roman"/>
            <w:b w:val="false"/>
            <w:i w:val="false"/>
            <w:color w:val="000000"/>
            <w:sz w:val="22"/>
          </w:rPr>
          <w:t>481—902.3</w:t>
        </w:r>
      </w:hyperlink>
      <w:r>
        <w:rPr>
          <w:rFonts w:ascii="Times New Roman" w:hAnsi="Times New Roman"/>
          <w:b w:val="false"/>
          <w:i w:val="false"/>
          <w:color w:val="000000"/>
          <w:sz w:val="22"/>
        </w:rPr>
        <w:t>(156,272C) within two years prior to filing the application for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completion of two hours of continuing education in current Iowa law and rules covering mortuary science content areas including, but not limited to, Iowa law and rules governing the practice of mortuary science, cremation, vital statistics, cemeteries and preneed. These 2 hours will be included as a part of the 24 hours required in 481—paragraph </w:t>
      </w:r>
      <w:hyperlink r:id="rId5">
        <w:r>
          <w:rPr>
            <w:rStyle w:val="Hyperlink"/>
            <w:rFonts w:ascii="Times New Roman" w:hAnsi="Times New Roman"/>
            <w:b w:val="false"/>
            <w:i w:val="false"/>
            <w:color w:val="000000"/>
            <w:sz w:val="22"/>
          </w:rPr>
          <w:t>902.3(2)</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more than five years,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licensed in another jurisdiction, the applicant will submit a licensure verification document from every jurisdiction the applicant is or has been licensed that discloses if disciplinary action was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completion of 48 hours of continuing education that meet continuing education standards defined in 481—subrule </w:t>
      </w:r>
      <w:hyperlink r:id="rId6">
        <w:r>
          <w:rPr>
            <w:rStyle w:val="Hyperlink"/>
            <w:rFonts w:ascii="Times New Roman" w:hAnsi="Times New Roman"/>
            <w:b w:val="false"/>
            <w:i w:val="false"/>
            <w:color w:val="000000"/>
            <w:sz w:val="22"/>
          </w:rPr>
          <w:t>902.3(1)</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481</w:t>
        </w:r>
      </w:hyperlink>
      <w:r>
        <w:rPr>
          <w:rFonts w:ascii="Times New Roman" w:hAnsi="Times New Roman"/>
          <w:b w:val="false"/>
          <w:i w:val="false"/>
          <w:color w:val="000000"/>
          <w:sz w:val="22"/>
        </w:rPr>
        <w:t xml:space="preserve">—paragraphs </w:t>
      </w:r>
      <w:r>
        <w:rPr>
          <w:rFonts w:ascii="Times New Roman" w:hAnsi="Times New Roman"/>
          <w:b w:val="false"/>
          <w:i w:val="false"/>
          <w:color w:val="000000"/>
          <w:sz w:val="22"/>
        </w:rPr>
        <w:t>902.3(2)</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color w:val="000000"/>
          <w:sz w:val="22"/>
        </w:rPr>
        <w:t xml:space="preserve"> “c,”</w:t>
      </w:r>
      <w:r>
        <w:rPr>
          <w:rFonts w:ascii="Times New Roman" w:hAnsi="Times New Roman"/>
          <w:b w:val="false"/>
          <w:i w:val="false"/>
          <w:color w:val="000000"/>
          <w:sz w:val="22"/>
        </w:rPr>
        <w:t xml:space="preserve"> and </w:t>
      </w:r>
      <w:r>
        <w:rPr>
          <w:rFonts w:ascii="Times New Roman" w:hAnsi="Times New Roman"/>
          <w:b w:val="false"/>
          <w:i/>
          <w:color w:val="000000"/>
          <w:sz w:val="22"/>
        </w:rPr>
        <w:t>“e,”</w:t>
      </w:r>
      <w:r>
        <w:rPr>
          <w:rFonts w:ascii="Times New Roman" w:hAnsi="Times New Roman"/>
          <w:b w:val="false"/>
          <w:i w:val="false"/>
          <w:color w:val="000000"/>
          <w:sz w:val="22"/>
        </w:rPr>
        <w:t xml:space="preserve"> within two years prior to filing the application for reactivation. Independent study identified in </w:t>
      </w:r>
      <w:hyperlink r:id="rId8">
        <w:r>
          <w:rPr>
            <w:rStyle w:val="Hyperlink"/>
            <w:rFonts w:ascii="Times New Roman" w:hAnsi="Times New Roman"/>
            <w:b w:val="false"/>
            <w:i w:val="false"/>
            <w:color w:val="000000"/>
            <w:sz w:val="22"/>
          </w:rPr>
          <w:t>481—paragraph 902.3(2)</w:t>
        </w:r>
      </w:hyperlink>
      <w:r>
        <w:rPr>
          <w:rFonts w:ascii="Times New Roman" w:hAnsi="Times New Roman"/>
          <w:b w:val="false"/>
          <w:i/>
          <w:color w:val="000000"/>
          <w:sz w:val="22"/>
        </w:rPr>
        <w:t>“d”</w:t>
      </w:r>
      <w:r>
        <w:rPr>
          <w:rFonts w:ascii="Times New Roman" w:hAnsi="Times New Roman"/>
          <w:b w:val="false"/>
          <w:i w:val="false"/>
          <w:color w:val="000000"/>
          <w:sz w:val="22"/>
        </w:rPr>
        <w:t xml:space="preserve"> will not exceed 24 hours of the 48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a college course of at least one semester hour or equivalent in current Iowa law and rules covering mortuary science content areas including but not limited to Iowa law and rules governing the practice of mortuary science, cremation, vital statistics, cemeteries and preneed.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0466D</w:t>
      </w:r>
      <w:r>
        <w:rPr>
          <w:rFonts w:ascii="Times New Roman" w:hAnsi="Times New Roman"/>
          <w:b w:val="false"/>
          <w:i w:val="false"/>
          <w:color w:val="000000"/>
          <w:sz w:val="16"/>
        </w:rPr>
        <w:t>, IAB 8/5/26, effective 9/9/26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902.3.pdf" Type="http://schemas.openxmlformats.org/officeDocument/2006/relationships/hyperlink" Id="rId4"/>
    <Relationship TargetMode="External" Target="https://www.legis.iowa.gov/docs/iac/rule/481.902.3.pdf" Type="http://schemas.openxmlformats.org/officeDocument/2006/relationships/hyperlink" Id="rId5"/>
    <Relationship TargetMode="External" Target="https://www.legis.iowa.gov/docs/iac/rule/481.902.3.pdf" Type="http://schemas.openxmlformats.org/officeDocument/2006/relationships/hyperlink" Id="rId6"/>
    <Relationship TargetMode="External" Target="https://www.legis.iowa.gov/docs/iac/chapter/481.481.pdf" Type="http://schemas.openxmlformats.org/officeDocument/2006/relationships/hyperlink" Id="rId7"/>
    <Relationship TargetMode="External" Target="https://www.legis.iowa.gov/docs/iac/rule/481.902.3.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