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481—901.1</w:t>
      </w:r>
      <w:r>
        <w:rPr>
          <w:rFonts w:ascii="Times New Roman" w:hAnsi="Times New Roman"/>
          <w:b/>
          <w:i w:val="false"/>
          <w:color w:val="000000"/>
          <w:sz w:val="22"/>
        </w:rPr>
        <w:t xml:space="preserve">(156)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“Change of ownership”</w:t>
      </w:r>
      <w:r>
        <w:rPr>
          <w:rFonts w:ascii="Times New Roman" w:hAnsi="Times New Roman"/>
          <w:b w:val="false"/>
          <w:i w:val="false"/>
          <w:color w:val="000000"/>
          <w:sz w:val="22"/>
        </w:rPr>
        <w:t> </w:t>
      </w:r>
      <w:r>
        <w:rPr>
          <w:rFonts w:ascii="Times New Roman" w:hAnsi="Times New Roman"/>
          <w:b w:val="false"/>
          <w:i w:val="false"/>
          <w:color w:val="000000"/>
          <w:sz w:val="22"/>
        </w:rPr>
        <w:t>means a change of controlling interest ((1) an interest in a partnership of greater than 50 percent; or (2) greater than 50 percent of the issued and outstanding shares of a stock of a corporation) in a funeral establishment or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“Full time”</w:t>
      </w:r>
      <w:r>
        <w:rPr>
          <w:rFonts w:ascii="Times New Roman" w:hAnsi="Times New Roman"/>
          <w:b w:val="false"/>
          <w:i w:val="false"/>
          <w:color w:val="000000"/>
          <w:sz w:val="22"/>
        </w:rPr>
        <w:t> </w:t>
      </w:r>
      <w:r>
        <w:rPr>
          <w:rFonts w:ascii="Times New Roman" w:hAnsi="Times New Roman"/>
          <w:b w:val="false"/>
          <w:i w:val="false"/>
          <w:color w:val="000000"/>
          <w:sz w:val="22"/>
        </w:rPr>
        <w:t>means a minimum of a 35-hour work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funeral director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 expiration date”</w:t>
      </w:r>
      <w:r>
        <w:rPr>
          <w:rFonts w:ascii="Times New Roman" w:hAnsi="Times New Roman"/>
          <w:b w:val="false"/>
          <w:i w:val="false"/>
          <w:color w:val="000000"/>
          <w:sz w:val="22"/>
        </w:rPr>
        <w:t> </w:t>
      </w:r>
      <w:r>
        <w:rPr>
          <w:rFonts w:ascii="Times New Roman" w:hAnsi="Times New Roman"/>
          <w:b w:val="false"/>
          <w:i w:val="false"/>
          <w:color w:val="000000"/>
          <w:sz w:val="22"/>
        </w:rPr>
        <w:t>means the fifteenth day of the birth month every two years following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 by 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mortuary science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“Occupational Safety and Health Act”</w:t>
      </w:r>
      <w:r>
        <w:rPr>
          <w:rFonts w:ascii="Times New Roman" w:hAnsi="Times New Roman"/>
          <w:b w:val="false"/>
          <w:i w:val="false"/>
          <w:color w:val="000000"/>
          <w:sz w:val="22"/>
        </w:rPr>
        <w:t> </w:t>
      </w:r>
      <w:r>
        <w:rPr>
          <w:rFonts w:ascii="Times New Roman" w:hAnsi="Times New Roman"/>
          <w:b w:val="false"/>
          <w:i w:val="false"/>
          <w:color w:val="000000"/>
          <w:sz w:val="22"/>
        </w:rPr>
        <w:t>means the Occupational Safety and Health Act of 1970, 29 U.S.C. §651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“Outer burial container”</w:t>
      </w:r>
      <w:r>
        <w:rPr>
          <w:rFonts w:ascii="Times New Roman" w:hAnsi="Times New Roman"/>
          <w:b w:val="false"/>
          <w:i w:val="false"/>
          <w:color w:val="000000"/>
          <w:sz w:val="22"/>
        </w:rPr>
        <w:t> </w:t>
      </w:r>
      <w:r>
        <w:rPr>
          <w:rFonts w:ascii="Times New Roman" w:hAnsi="Times New Roman"/>
          <w:b w:val="false"/>
          <w:i w:val="false"/>
          <w:color w:val="000000"/>
          <w:sz w:val="22"/>
        </w:rPr>
        <w:t>means any container which is designed for placement in the ground around a casket or an urn including, but not limited to, containers commonly known as burial vaults, urn vaults, grave boxes, grave liners, and lawn crypts.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4">
        <w:r>
          <w:rPr>
            <w:rStyle w:val="Hyperlink"/>
            <w:rFonts w:ascii="Times New Roman" w:hAnsi="Times New Roman"/>
            <w:b w:val="false"/>
            <w:i w:val="false"/>
            <w:color w:val="000000"/>
            <w:sz w:val="22"/>
          </w:rPr>
          <w:t>481—901.10</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“Reciprocal license”</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mortuary science to an applicant who is currently licensed in another state which has a mutual agreement with the Iowa board of mortuary science to license persons who have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voluntarily surrendered a license may apply to have the license reinstated, with or without conditions.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0466D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901.10.pdf" Type="http://schemas.openxmlformats.org/officeDocument/2006/relationships/hyperlink" Id="rId4"/>
    <Relationship TargetMode="External" Target="https://www.legis.iowa.gov/docs/iac/rule/481.506.3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