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481—900.4</w:t>
      </w:r>
      <w:r>
        <w:rPr>
          <w:rFonts w:ascii="Times New Roman" w:hAnsi="Times New Roman"/>
          <w:b/>
          <w:i w:val="false"/>
          <w:color w:val="000000"/>
          <w:sz w:val="22"/>
        </w:rPr>
        <w:t xml:space="preserve">(142,156) </w:t>
      </w:r>
      <w:r>
        <w:rPr>
          <w:rFonts w:ascii="Times New Roman" w:hAnsi="Times New Roman"/>
          <w:b/>
          <w:i w:val="false"/>
          <w:color w:val="000000"/>
          <w:sz w:val="22"/>
        </w:rPr>
        <w:t xml:space="preserve">Removal and transfer of human remains.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900.4(1)</w:t>
      </w:r>
      <w:r>
        <w:rPr>
          <w:rFonts w:ascii="Times New Roman" w:hAnsi="Times New Roman"/>
          <w:b w:val="false"/>
          <w:i w:val="false"/>
          <w:color w:val="000000"/>
          <w:sz w:val="22"/>
        </w:rPr>
        <w:t> </w:t>
      </w:r>
      <w:r>
        <w:rPr>
          <w:rFonts w:ascii="Times New Roman" w:hAnsi="Times New Roman"/>
          <w:b w:val="false"/>
          <w:i w:val="false"/>
          <w:color w:val="000000"/>
          <w:sz w:val="22"/>
        </w:rPr>
        <w:t>Removal and transfer of human remains. The funeral director will perform the following duties upon notification of a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Comply with jurisdictional authority, with respect to medicolegal responsibilities, regarding the removal of the human remains.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signature and license number when removing a human remains from a hospital, nursing establishment or any other institution involved with the care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900.4(2)</w:t>
      </w:r>
      <w:r>
        <w:rPr>
          <w:rFonts w:ascii="Times New Roman" w:hAnsi="Times New Roman"/>
          <w:b w:val="false"/>
          <w:i w:val="false"/>
          <w:color w:val="000000"/>
          <w:sz w:val="22"/>
        </w:rPr>
        <w:t> </w:t>
      </w:r>
      <w:r>
        <w:rPr>
          <w:rFonts w:ascii="Times New Roman" w:hAnsi="Times New Roman"/>
          <w:b w:val="false"/>
          <w:i w:val="false"/>
          <w:color w:val="000000"/>
          <w:sz w:val="22"/>
        </w:rPr>
        <w:t>After the funeral director has assumed custody of the human remains, the funeral director may delegate the task of transferring the human remains to an unlicensed employee, intern, or agent. Prior to transfer, the funeral director will topically disinfect the body, secure all body orifices to retain all secretions, place the human remains in a leakproof container for transfer that will control odor and prevent the leakage of body fluids, and issue a burial transit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900.4(3)</w:t>
      </w:r>
      <w:r>
        <w:rPr>
          <w:rFonts w:ascii="Times New Roman" w:hAnsi="Times New Roman"/>
          <w:b w:val="false"/>
          <w:i w:val="false"/>
          <w:color w:val="000000"/>
          <w:sz w:val="22"/>
        </w:rPr>
        <w:t> </w:t>
      </w:r>
      <w:r>
        <w:rPr>
          <w:rFonts w:ascii="Times New Roman" w:hAnsi="Times New Roman"/>
          <w:b w:val="false"/>
          <w:i w:val="false"/>
          <w:color w:val="000000"/>
          <w:sz w:val="22"/>
        </w:rPr>
        <w:t xml:space="preserve">A funeral director may delegate to a removal technician the removal and transportation of unembalmed human remains without first assuming custody, and without topically disinfecting or securing body orifices, if either of the following is true. The removal and transportation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At the direction of the medical examiner;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To or from the funeral establishment where the removal technician is registered.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7812C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0466D</w:t>
      </w:r>
      <w:r>
        <w:rPr>
          <w:rFonts w:ascii="Times New Roman" w:hAnsi="Times New Roman"/>
          <w:b w:val="false"/>
          <w:i w:val="false"/>
          <w:color w:val="000000"/>
          <w:sz w:val="16"/>
        </w:rPr>
        <w:t>, IAB 8/5/26, effective 9/9/26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