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Waivers from these rules may be granted by the director of the department if, in addition to the requirements of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need for a waiver has been established consistent with the résumé of care or the resident’s individual program plan; and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There is no danger to the health, safety, welfare, or rights of any resident.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waiver will apply only to a subacute care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Waivers shall be reviewed by the department at the time of each licensure survey to verify whether the facility is still eligible for the waiver.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1740C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11/26/14, effective 12/31/14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5719C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6/16/21, effective 7/21/21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