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 xml:space="preserve">A military service applicant may apply for credit for verified military education, training, or service toward any experience or educational requirement for licensure in accordance with Iowa Code chapter </w:t>
      </w:r>
      <w:hyperlink r:id="rId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by submitting a military service application form to the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submitted with an application for licensure or examination, or prior to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will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licensing authority will promptly determine whether the verified military education, training, or service will satisfy all or any part of the identified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credit requested in the application in whole or in part if the licensing authority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licensing authority’s decision may request a contested case hearing. A request for a contested case shall be made within 30 days of issuance of the licensing authority’s decision. Unless the licensing authority has adopted rules governing contested case hearings under the jurisdiction of that licensing authority, the provisions of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except that no fees or costs will be assessed against the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or deny the military service application prior to ruling on the application for licensure. The applicant will not be required to submit any fees in connection with the licensure application unless the licensing authority grants the military service application. If the licensing authority does not grant the military service application, the applicant may withdraw the licensure application or request that the application be placed in pending status for up to one year or as mutually agreed. The withdrawal of a licensure application does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chapter/7.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