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481—67.15</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Conditional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67.15(1)</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 xml:space="preserve">In lieu of denial, suspension or revocation of a certificate, the department may issue a conditional certificate for a period of up to one year. Notwithstanding subrule </w:t>
      </w:r>
      <w:hyperlink r:id="rId4">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a conditional certificate shall be issued only when regulatory insufficiencies pose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specify the reasons for the conditional certificate in the notice issuing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conditions upon a certificate, such as requiring additional training; restriction of the program from accepting additional tenants for a period of time; or any other action or combination of actions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the program to adhere to the plan of correction or conditions placed on the certificate may result in suspension or revocation of the conditional certification and further enforcement action as available under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must be in substantial compliance with applicable requirements before the removal of a conditional certificate by the department. Prior to lifting a conditional certificate, the department may conduct a monitoring to verify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67.15(2)</w:t>
      </w:r>
      <w:r>
        <w:rPr>
          <w:rFonts w:ascii="Times New Roman" w:hAnsi="Times New Roman"/>
          <w:b w:val="false"/>
          <w:i w:val="false"/>
          <w:color w:val="000000"/>
          <w:sz w:val="22"/>
        </w:rPr>
        <w:t> </w:t>
      </w:r>
      <w:r>
        <w:rPr>
          <w:rFonts w:ascii="Times New Roman" w:hAnsi="Times New Roman"/>
          <w:b w:val="false"/>
          <w:i/>
          <w:color w:val="000000"/>
          <w:sz w:val="22"/>
        </w:rPr>
        <w:t xml:space="preserve">Appeal of conditional certificate. </w:t>
      </w:r>
      <w:r>
        <w:rPr>
          <w:rFonts w:ascii="Times New Roman" w:hAnsi="Times New Roman"/>
          <w:b w:val="false"/>
          <w:i w:val="false"/>
          <w:color w:val="000000"/>
          <w:sz w:val="22"/>
        </w:rPr>
        <w:t xml:space="preserve">A written request for hearing must be received by the department within 30 days after the mailing or service of notice. The conditional certificate will not be suspended pending the hearing. Hearings will be conducted by the administrative hearings division of the department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7.14.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chapter/7.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