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481—662.4</w:t>
      </w:r>
      <w:r>
        <w:rPr>
          <w:rFonts w:ascii="Times New Roman" w:hAnsi="Times New Roman"/>
          <w:b/>
          <w:i w:val="false"/>
          <w:color w:val="000000"/>
          <w:sz w:val="22"/>
        </w:rPr>
        <w:t xml:space="preserve">(272C) </w:t>
      </w:r>
      <w:r>
        <w:rPr>
          <w:rFonts w:ascii="Times New Roman" w:hAnsi="Times New Roman"/>
          <w:b/>
          <w:i w:val="false"/>
          <w:color w:val="000000"/>
          <w:sz w:val="22"/>
        </w:rPr>
        <w:t xml:space="preserve">Order for physical, mental, or clinical competency evaluation. </w:t>
      </w:r>
      <w:r>
        <w:rPr>
          <w:rFonts w:ascii="Times New Roman" w:hAnsi="Times New Roman"/>
          <w:b w:val="false"/>
          <w:i w:val="false"/>
          <w:color w:val="000000"/>
          <w:sz w:val="22"/>
        </w:rPr>
        <w:t xml:space="preserve">All licensees will undergo a physical, mental, or clinical evaluation as directed by the board. This evaluation may be ordered if there is probable cause of a mental, physical, or behavioral condition, including professional misconduct, disruptive behavior, or substance abuse. The evaluation may include various assessments for disruptive behavior or neuropsychological, psychiatric, sexual misconduct, or substance abuse evaluations. Clinical competency evaluations can be ordered if there is probable cause of professional incompetence. All evaluation orders and related information are confidential according to Iowa Code section </w:t>
      </w:r>
      <w:hyperlink r:id="rId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The licensee will bear the cost, and orders will be delivered via personal service or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662.4(1)</w:t>
      </w:r>
      <w:r>
        <w:rPr>
          <w:rFonts w:ascii="Times New Roman" w:hAnsi="Times New Roman"/>
          <w:b w:val="false"/>
          <w:i w:val="false"/>
          <w:color w:val="000000"/>
          <w:sz w:val="22"/>
        </w:rPr>
        <w:t> </w:t>
      </w:r>
      <w:r>
        <w:rPr>
          <w:rFonts w:ascii="Times New Roman" w:hAnsi="Times New Roman"/>
          <w:b w:val="false"/>
          <w:i/>
          <w:color w:val="000000"/>
          <w:sz w:val="22"/>
        </w:rPr>
        <w:t xml:space="preserve">Content of order. </w:t>
      </w:r>
      <w:r>
        <w:rPr>
          <w:rFonts w:ascii="Times New Roman" w:hAnsi="Times New Roman"/>
          <w:b w:val="false"/>
          <w:i w:val="false"/>
          <w:color w:val="000000"/>
          <w:sz w:val="22"/>
        </w:rPr>
        <w:t>A board order shall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Probable cause. </w:t>
      </w:r>
      <w:r>
        <w:rPr>
          <w:rFonts w:ascii="Times New Roman" w:hAnsi="Times New Roman"/>
          <w:b w:val="false"/>
          <w:i w:val="false"/>
          <w:color w:val="000000"/>
          <w:sz w:val="22"/>
        </w:rPr>
        <w:t>A showing by the board that there is probable cause to order the licensee to complete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Nature of evaluation or screening. </w:t>
      </w:r>
      <w:r>
        <w:rPr>
          <w:rFonts w:ascii="Times New Roman" w:hAnsi="Times New Roman"/>
          <w:b w:val="false"/>
          <w:i w:val="false"/>
          <w:color w:val="000000"/>
          <w:sz w:val="22"/>
        </w:rPr>
        <w:t>A description of the type of evaluation or screening that the licensee needs to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Evaluation facility. </w:t>
      </w:r>
      <w:r>
        <w:rPr>
          <w:rFonts w:ascii="Times New Roman" w:hAnsi="Times New Roman"/>
          <w:b w:val="false"/>
          <w:i w:val="false"/>
          <w:color w:val="000000"/>
          <w:sz w:val="22"/>
        </w:rPr>
        <w:t>The name and address of the examiner or evaluation or treatment or screening facility that the board has identified to perform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Scheduling the evaluation. </w:t>
      </w:r>
      <w:r>
        <w:rPr>
          <w:rFonts w:ascii="Times New Roman" w:hAnsi="Times New Roman"/>
          <w:b w:val="false"/>
          <w:i w:val="false"/>
          <w:color w:val="000000"/>
          <w:sz w:val="22"/>
        </w:rPr>
        <w:t>The amount of time in which the licensee must schedule the required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evaluation. </w:t>
      </w:r>
      <w:r>
        <w:rPr>
          <w:rFonts w:ascii="Times New Roman" w:hAnsi="Times New Roman"/>
          <w:b w:val="false"/>
          <w:i w:val="false"/>
          <w:color w:val="000000"/>
          <w:sz w:val="22"/>
        </w:rPr>
        <w:t>The amount of time in which the licensee must complete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Board release. </w:t>
      </w:r>
      <w:r>
        <w:rPr>
          <w:rFonts w:ascii="Times New Roman" w:hAnsi="Times New Roman"/>
          <w:b w:val="false"/>
          <w:i w:val="false"/>
          <w:color w:val="000000"/>
          <w:sz w:val="22"/>
        </w:rPr>
        <w:t>A requirement that the licensee sign all necessary releases for the board to communicate with the evaluator or the evaluation or treatment program and to obtain any reports generated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662.4(2)</w:t>
      </w:r>
      <w:r>
        <w:rPr>
          <w:rFonts w:ascii="Times New Roman" w:hAnsi="Times New Roman"/>
          <w:b w:val="false"/>
          <w:i w:val="false"/>
          <w:color w:val="000000"/>
          <w:sz w:val="22"/>
        </w:rPr>
        <w:t> </w:t>
      </w:r>
      <w:r>
        <w:rPr>
          <w:rFonts w:ascii="Times New Roman" w:hAnsi="Times New Roman"/>
          <w:b w:val="false"/>
          <w:i/>
          <w:color w:val="000000"/>
          <w:sz w:val="22"/>
        </w:rPr>
        <w:t xml:space="preserve">Alternatives. </w:t>
      </w:r>
      <w:r>
        <w:rPr>
          <w:rFonts w:ascii="Times New Roman" w:hAnsi="Times New Roman"/>
          <w:b w:val="false"/>
          <w:i w:val="false"/>
          <w:color w:val="000000"/>
          <w:sz w:val="22"/>
        </w:rPr>
        <w:t>Following issuance of the evaluation order, the licensee may request additional time to schedule or complete the evaluation or to request the board to approve an alternative evaluator or treatment facility. The board will determine whether to grant such a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662.4(3)</w:t>
      </w:r>
      <w:r>
        <w:rPr>
          <w:rFonts w:ascii="Times New Roman" w:hAnsi="Times New Roman"/>
          <w:b w:val="false"/>
          <w:i w:val="false"/>
          <w:color w:val="000000"/>
          <w:sz w:val="22"/>
        </w:rPr>
        <w:t> </w:t>
      </w:r>
      <w:r>
        <w:rPr>
          <w:rFonts w:ascii="Times New Roman" w:hAnsi="Times New Roman"/>
          <w:b w:val="false"/>
          <w:i/>
          <w:color w:val="000000"/>
          <w:sz w:val="22"/>
        </w:rPr>
        <w:t xml:space="preserve">Objection to order. </w:t>
      </w:r>
      <w:r>
        <w:rPr>
          <w:rFonts w:ascii="Times New Roman" w:hAnsi="Times New Roman"/>
          <w:b w:val="false"/>
          <w:i w:val="false"/>
          <w:color w:val="000000"/>
          <w:sz w:val="22"/>
        </w:rPr>
        <w:t xml:space="preserve">A licensee who is the subject of a board evaluation order and who objects to the order may file a request for hearing. The request shall be filed within 14 days of issuance of the evaluation order. A licensee who fails to timely file a request for hearing to object to an evaluation order waives any future objection to the evaluation order in the event formal disciplinary charges are filed for failure to comply with the evaluation order or on any other grounds. The request for hearing shall specifically identify the factual and legal issues upon which the licensee bases the objection. The hearing will be considered a contested case proceeding and will be governed by the provisions of </w:t>
      </w:r>
      <w:hyperlink r:id="rId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662.4(4)</w:t>
      </w:r>
      <w:r>
        <w:rPr>
          <w:rFonts w:ascii="Times New Roman" w:hAnsi="Times New Roman"/>
          <w:b w:val="false"/>
          <w:i w:val="false"/>
          <w:color w:val="000000"/>
          <w:sz w:val="22"/>
        </w:rPr>
        <w:t> </w:t>
      </w:r>
      <w:r>
        <w:rPr>
          <w:rFonts w:ascii="Times New Roman" w:hAnsi="Times New Roman"/>
          <w:b w:val="false"/>
          <w:i/>
          <w:color w:val="000000"/>
          <w:sz w:val="22"/>
        </w:rPr>
        <w:t xml:space="preserve">Closed hearing. </w:t>
      </w:r>
      <w:r>
        <w:rPr>
          <w:rFonts w:ascii="Times New Roman" w:hAnsi="Times New Roman"/>
          <w:b w:val="false"/>
          <w:i w:val="false"/>
          <w:color w:val="000000"/>
          <w:sz w:val="22"/>
        </w:rPr>
        <w:t xml:space="preserve">Any hearing on an objection to the board order will be closed pursuant to Iowa Code section </w:t>
      </w:r>
      <w:hyperlink r:id="rId6">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662.4(5)</w:t>
      </w:r>
      <w:r>
        <w:rPr>
          <w:rFonts w:ascii="Times New Roman" w:hAnsi="Times New Roman"/>
          <w:b w:val="false"/>
          <w:i w:val="false"/>
          <w:color w:val="000000"/>
          <w:sz w:val="22"/>
        </w:rPr>
        <w:t> </w:t>
      </w:r>
      <w:r>
        <w:rPr>
          <w:rFonts w:ascii="Times New Roman" w:hAnsi="Times New Roman"/>
          <w:b w:val="false"/>
          <w:i/>
          <w:color w:val="000000"/>
          <w:sz w:val="22"/>
        </w:rPr>
        <w:t xml:space="preserve">Order and reports confidential. </w:t>
      </w:r>
      <w:r>
        <w:rPr>
          <w:rFonts w:ascii="Times New Roman" w:hAnsi="Times New Roman"/>
          <w:b w:val="false"/>
          <w:i w:val="false"/>
          <w:color w:val="000000"/>
          <w:sz w:val="22"/>
        </w:rPr>
        <w:t xml:space="preserve">An evaluation order and any subsequent evaluation reports issued in the course of a board investigation are confidential investigative information pursuant to Iowa Code section </w:t>
      </w:r>
      <w:hyperlink r:id="rId7">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However, all investigative information related to an evaluation order will be provided to the licensee in the event the licensee files an objection under subrule </w:t>
      </w:r>
      <w:hyperlink r:id="rId8">
        <w:r>
          <w:rPr>
            <w:rStyle w:val="Hyperlink"/>
            <w:rFonts w:ascii="Times New Roman" w:hAnsi="Times New Roman"/>
            <w:b w:val="false"/>
            <w:i w:val="false"/>
            <w:color w:val="000000"/>
            <w:sz w:val="22"/>
          </w:rPr>
          <w:t>662.4(3)</w:t>
        </w:r>
      </w:hyperlink>
      <w:r>
        <w:rPr>
          <w:rFonts w:ascii="Times New Roman" w:hAnsi="Times New Roman"/>
          <w:b w:val="false"/>
          <w:i w:val="false"/>
          <w:color w:val="000000"/>
          <w:sz w:val="22"/>
        </w:rPr>
        <w:t>, in order to allow the licensee an opportunity to prepare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662.4(6)</w:t>
      </w:r>
      <w:r>
        <w:rPr>
          <w:rFonts w:ascii="Times New Roman" w:hAnsi="Times New Roman"/>
          <w:b w:val="false"/>
          <w:i w:val="false"/>
          <w:color w:val="000000"/>
          <w:sz w:val="22"/>
        </w:rPr>
        <w:t> </w:t>
      </w:r>
      <w:r>
        <w:rPr>
          <w:rFonts w:ascii="Times New Roman" w:hAnsi="Times New Roman"/>
          <w:b w:val="false"/>
          <w:i/>
          <w:color w:val="000000"/>
          <w:sz w:val="22"/>
        </w:rPr>
        <w:t xml:space="preserve">Admissibility. </w:t>
      </w:r>
      <w:r>
        <w:rPr>
          <w:rFonts w:ascii="Times New Roman" w:hAnsi="Times New Roman"/>
          <w:b w:val="false"/>
          <w:i w:val="false"/>
          <w:color w:val="000000"/>
          <w:sz w:val="22"/>
        </w:rPr>
        <w:t>In the event the licensee submits to evaluation and subsequent proceedings are held before the board, all objections will be waived as to the admissibility of the licensee’s testimony or evaluation reports on the grounds that they constitute privileged communication. The medical testimony or examination reports will not be used against the licensee in any proceeding other than one relating to licensee discipline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662.4(7)</w:t>
      </w:r>
      <w:r>
        <w:rPr>
          <w:rFonts w:ascii="Times New Roman" w:hAnsi="Times New Roman"/>
          <w:b w:val="false"/>
          <w:i w:val="false"/>
          <w:color w:val="000000"/>
          <w:sz w:val="22"/>
        </w:rPr>
        <w:t> </w:t>
      </w:r>
      <w:r>
        <w:rPr>
          <w:rFonts w:ascii="Times New Roman" w:hAnsi="Times New Roman"/>
          <w:b w:val="false"/>
          <w:i/>
          <w:color w:val="000000"/>
          <w:sz w:val="22"/>
        </w:rPr>
        <w:t xml:space="preserve">Failure to submit. </w:t>
      </w:r>
      <w:r>
        <w:rPr>
          <w:rFonts w:ascii="Times New Roman" w:hAnsi="Times New Roman"/>
          <w:b w:val="false"/>
          <w:i w:val="false"/>
          <w:color w:val="000000"/>
          <w:sz w:val="22"/>
        </w:rPr>
        <w:t>Failure of a licensee to submit to a board-ordered mental, physical, clinical competency or substance abuse evaluation or alcohol or drug screening constitutes a violation of the rules of the board and is grounds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6.pdf" Type="http://schemas.openxmlformats.org/officeDocument/2006/relationships/hyperlink" Id="rId4"/>
    <Relationship TargetMode="External" Target="https://www.legis.iowa.gov/docs/iac/chapter/481.506.pdf" Type="http://schemas.openxmlformats.org/officeDocument/2006/relationships/hyperlink" Id="rId5"/>
    <Relationship TargetMode="External" Target="https://www.legis.iowa.gov/docs/ico/chapter/272C.6.pdf" Type="http://schemas.openxmlformats.org/officeDocument/2006/relationships/hyperlink" Id="rId6"/>
    <Relationship TargetMode="External" Target="https://www.legis.iowa.gov/docs/ico/chapter/272C.6.pdf" Type="http://schemas.openxmlformats.org/officeDocument/2006/relationships/hyperlink" Id="rId7"/>
    <Relationship TargetMode="External" Target="https://www.legis.iowa.gov/docs/iac/rule/481.662.4.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