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481—656.4</w:t>
      </w:r>
      <w:r>
        <w:rPr>
          <w:rFonts w:ascii="Times New Roman" w:hAnsi="Times New Roman"/>
          <w:b/>
          <w:i w:val="false"/>
          <w:color w:val="000000"/>
          <w:sz w:val="22"/>
        </w:rPr>
        <w:t xml:space="preserve">(147,148E) </w:t>
      </w:r>
      <w:r>
        <w:rPr>
          <w:rFonts w:ascii="Times New Roman" w:hAnsi="Times New Roman"/>
          <w:b/>
          <w:i w:val="false"/>
          <w:color w:val="000000"/>
          <w:sz w:val="22"/>
        </w:rPr>
        <w:t xml:space="preserve">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licensure. </w:t>
      </w:r>
      <w:r>
        <w:rPr>
          <w:rFonts w:ascii="Times New Roman" w:hAnsi="Times New Roman"/>
          <w:b w:val="false"/>
          <w:i w:val="false"/>
          <w:color w:val="000000"/>
          <w:sz w:val="22"/>
        </w:rPr>
        <w:t>To apply for a license to practice acupuncture,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 form provided by the board, including required credentials and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nonrefundable initial application fee identified in </w:t>
      </w:r>
      <w:hyperlink r:id="rId4">
        <w:r>
          <w:rPr>
            <w:rStyle w:val="Hyperlink"/>
            <w:rFonts w:ascii="Times New Roman" w:hAnsi="Times New Roman"/>
            <w:b w:val="false"/>
            <w:i w:val="false"/>
            <w:color w:val="000000"/>
            <w:sz w:val="22"/>
          </w:rPr>
          <w:t>481—subrule 651.2(1)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fee identified in </w:t>
      </w:r>
      <w:hyperlink r:id="rId5">
        <w:r>
          <w:rPr>
            <w:rStyle w:val="Hyperlink"/>
            <w:rFonts w:ascii="Times New Roman" w:hAnsi="Times New Roman"/>
            <w:b w:val="false"/>
            <w:i w:val="false"/>
            <w:color w:val="000000"/>
            <w:sz w:val="22"/>
          </w:rPr>
          <w:t>481—subrule 651.2(5)</w:t>
        </w:r>
      </w:hyperlink>
      <w:r>
        <w:rPr>
          <w:rFonts w:ascii="Times New Roman" w:hAnsi="Times New Roman"/>
          <w:b w:val="false"/>
          <w:i w:val="false"/>
          <w:color w:val="000000"/>
          <w:sz w:val="22"/>
        </w:rPr>
        <w:t xml:space="preserve"> for the evaluation of the fingerprint packet and the national criminal history background checks by the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656.4(2)</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application form. </w:t>
      </w:r>
      <w:r>
        <w:rPr>
          <w:rFonts w:ascii="Times New Roman" w:hAnsi="Times New Roman"/>
          <w:b w:val="false"/>
          <w:i w:val="false"/>
          <w:color w:val="000000"/>
          <w:sz w:val="22"/>
        </w:rPr>
        <w:t>Each applicant shall submit the following information on the application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an acupuncture and oriental medicine training program or college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other jurisdictions in the United States or other nations or territories in which the applicant is authorized to practice acupuncture, including license, certificate of registration or certification numbers, and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acupuncture in any jurisdiction of the United States,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warnings issued, investigations conducted, or disciplinary actions taken, whether by voluntary agreement or formal action, by a medical, acupuncture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NCCAOM score report verification form submitted directly to the board by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NCCAOM certificate that demonstrates that the applicant holds current active status as a diplomate in acupuncture or oriental medicine from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Proof of successful completion of a course in clean needle technique approved by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clinical acupuncture training, work experience and, where applicable,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the applicant’s acupuncture degree issued by an educational institution. If a copy of the acupuncture degree cannot be provided because of extraordinary circumstances, the board may accept other reliable evidence that the applicant obtained an acupuncture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complete translation of any diploma not written in English. An official transcript, written in English and received directly from the educational institution, showing graduation from an acupuncture training program or an educational institution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sworn statement from an official of the educational institution certifying the date the applicant received the acupuncture degree and acknowledging what, if any, derogatory comments exist in the institution’s record about the applicant. If a sworn statement from an official of the educational institution cannot be provided because of extraordinary circumstances, the board may accept other reliable evidence that the applicant obtained an acupuncture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 official transcript sent directly from an acupuncture training program or an educational institution attended by the applicant and, if requested by the board, an English translation of the official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proficiency in the English language, when the applicant has not passed the English version of the NCCAOM written and practical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Verification of an applicant’s hospital and clinical staff privileges and other professional experience for the past five years if requested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656.4(3)</w:t>
      </w:r>
      <w:r>
        <w:rPr>
          <w:rFonts w:ascii="Times New Roman" w:hAnsi="Times New Roman"/>
          <w:b w:val="false"/>
          <w:i w:val="false"/>
          <w:color w:val="000000"/>
          <w:sz w:val="22"/>
        </w:rPr>
        <w:t> </w:t>
      </w:r>
      <w:r>
        <w:rPr>
          <w:rFonts w:ascii="Times New Roman" w:hAnsi="Times New Roman"/>
          <w:b w:val="false"/>
          <w:i/>
          <w:color w:val="000000"/>
          <w:sz w:val="22"/>
        </w:rPr>
        <w:t xml:space="preserve">Application cycle. </w:t>
      </w:r>
      <w:r>
        <w:rPr>
          <w:rFonts w:ascii="Times New Roman" w:hAnsi="Times New Roman"/>
          <w:b w:val="false"/>
          <w:i w:val="false"/>
          <w:color w:val="000000"/>
          <w:sz w:val="22"/>
        </w:rPr>
        <w:t>If the applicant does not submit all materials, including a completed fingerprint packet, within 90 days of the board’s initial request for further information, the application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reactivate the application, an applicant shall submit a nonrefundable reactivation of application fee identified in </w:t>
      </w:r>
      <w:hyperlink r:id="rId6">
        <w:r>
          <w:rPr>
            <w:rStyle w:val="Hyperlink"/>
            <w:rFonts w:ascii="Times New Roman" w:hAnsi="Times New Roman"/>
            <w:b w:val="false"/>
            <w:i w:val="false"/>
            <w:color w:val="000000"/>
            <w:sz w:val="22"/>
          </w:rPr>
          <w:t>481—subrule 651.2(2)</w:t>
        </w:r>
      </w:hyperlink>
      <w:r>
        <w:rPr>
          <w:rFonts w:ascii="Times New Roman" w:hAnsi="Times New Roman"/>
          <w:b w:val="false"/>
          <w:i w:val="false"/>
          <w:color w:val="000000"/>
          <w:sz w:val="22"/>
        </w:rPr>
        <w:t xml:space="preserve"> and shall update application materials if requested by the board. The period for requesting reactivation is limited to 30 days from the date the applicant is notified that the application is inactive, unless the applicant is granted an extension in writing by the committee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the application reactivation period is expired, applicants must reapply and submit a new, nonrefundable initial application fee and a new application, including required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656.4(4)</w:t>
      </w:r>
      <w:r>
        <w:rPr>
          <w:rFonts w:ascii="Times New Roman" w:hAnsi="Times New Roman"/>
          <w:b w:val="false"/>
          <w:i w:val="false"/>
          <w:color w:val="000000"/>
          <w:sz w:val="22"/>
        </w:rPr>
        <w:t> </w:t>
      </w:r>
      <w:r>
        <w:rPr>
          <w:rFonts w:ascii="Times New Roman" w:hAnsi="Times New Roman"/>
          <w:b w:val="false"/>
          <w:i/>
          <w:color w:val="000000"/>
          <w:sz w:val="22"/>
        </w:rPr>
        <w:t xml:space="preserve">Applicant responsibilities. </w:t>
      </w:r>
      <w:r>
        <w:rPr>
          <w:rFonts w:ascii="Times New Roman" w:hAnsi="Times New Roman"/>
          <w:b w:val="false"/>
          <w:i w:val="false"/>
          <w:color w:val="000000"/>
          <w:sz w:val="22"/>
        </w:rPr>
        <w:t>An applicant for licensure to practice acupuncture bears full responsibility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all fees charged by regulatory authorities, national testing or credentialing organizations, health facilities, and educational institutions providing the information specified in subrule </w:t>
      </w:r>
      <w:hyperlink r:id="rId7">
        <w:r>
          <w:rPr>
            <w:rStyle w:val="Hyperlink"/>
            <w:rFonts w:ascii="Times New Roman" w:hAnsi="Times New Roman"/>
            <w:b w:val="false"/>
            <w:i w:val="false"/>
            <w:color w:val="000000"/>
            <w:sz w:val="22"/>
          </w:rPr>
          <w:t>656.4(2)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accurate, up-to-date, and truthful information on the application form, including but not limited to that specified under subrule </w:t>
      </w:r>
      <w:hyperlink r:id="rId8">
        <w:r>
          <w:rPr>
            <w:rStyle w:val="Hyperlink"/>
            <w:rFonts w:ascii="Times New Roman" w:hAnsi="Times New Roman"/>
            <w:b w:val="false"/>
            <w:i w:val="false"/>
            <w:color w:val="000000"/>
            <w:sz w:val="22"/>
          </w:rPr>
          <w:t>656.4(2)</w:t>
        </w:r>
      </w:hyperlink>
      <w:r>
        <w:rPr>
          <w:rFonts w:ascii="Times New Roman" w:hAnsi="Times New Roman"/>
          <w:b w:val="false"/>
          <w:i w:val="false"/>
          <w:color w:val="000000"/>
          <w:sz w:val="22"/>
        </w:rPr>
        <w:t xml:space="preserve"> related to prior professional experience, education, training, examination scores, diplomate status, licensure or registration, and disciplinary history;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English translations of documents in foreign languages bearing the affidavit of the translator certifying that the translation is a true and complete translation of the foreign language original. The applicant shall bear the expense of the translation.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656.4(5)</w:t>
      </w:r>
      <w:r>
        <w:rPr>
          <w:rFonts w:ascii="Times New Roman" w:hAnsi="Times New Roman"/>
          <w:b w:val="false"/>
          <w:i w:val="false"/>
          <w:color w:val="000000"/>
          <w:sz w:val="22"/>
        </w:rPr>
        <w:t> </w:t>
      </w:r>
      <w:r>
        <w:rPr>
          <w:rFonts w:ascii="Times New Roman" w:hAnsi="Times New Roman"/>
          <w:b w:val="false"/>
          <w:i/>
          <w:color w:val="000000"/>
          <w:sz w:val="22"/>
        </w:rPr>
        <w:t xml:space="preserve">Licensure application review process. </w:t>
      </w:r>
      <w:r>
        <w:rPr>
          <w:rFonts w:ascii="Times New Roman" w:hAnsi="Times New Roman"/>
          <w:b w:val="false"/>
          <w:i w:val="false"/>
          <w:color w:val="000000"/>
          <w:sz w:val="22"/>
        </w:rPr>
        <w:t>The process below is utilized to review each application. Priority is given to processing a licensure application when a written request is received in the board office from an applicant whose practice will primarily involve provision of services to underserved populations, including but not limited to persons who are minorities or low-income or who live in rural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initial licensure is considered open from the date the application form is received in the board office with the nonrefundable initial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will notify the applicant about how to resolve any problems identified by the reviewer. An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administratively grant the license. The staff may grant the license without having received a report on the applicant from the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the director of licensure and the director of legal affairs will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will administratively grant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will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will refer to the committee for review matters that include but are not limited to: falsification of information on the application, criminal record, malpractice, substance abuse, competency, physical or mental illness, or professional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issue the license administratively.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will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not engaged in active practice in the past three years in any jurisdiction of the United States,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continuing education or retraining programs in areas directly related to the safe and healthful practice of acupuncture deemed appropriate by the board or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pass 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Issue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Issue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will consider applications and recommendations from the committee and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not engaged in active practice in the past three years in any jurisdiction of the United States,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continuing education or retraining programs in areas directly related to the safe and healthful practice of acupuncture deemed appropriate by the board or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pass 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Issue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Issue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Deny a license. The board may deny a license for any grounds on which the board may discipline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656.4(6)</w:t>
      </w:r>
      <w:r>
        <w:rPr>
          <w:rFonts w:ascii="Times New Roman" w:hAnsi="Times New Roman"/>
          <w:b w:val="false"/>
          <w:i w:val="false"/>
          <w:color w:val="000000"/>
          <w:sz w:val="22"/>
        </w:rPr>
        <w:t> </w:t>
      </w:r>
      <w:r>
        <w:rPr>
          <w:rFonts w:ascii="Times New Roman" w:hAnsi="Times New Roman"/>
          <w:b w:val="false"/>
          <w:i/>
          <w:color w:val="000000"/>
          <w:sz w:val="22"/>
        </w:rPr>
        <w:t xml:space="preserve">Grounds for denial of licensure. </w:t>
      </w:r>
      <w:r>
        <w:rPr>
          <w:rFonts w:ascii="Times New Roman" w:hAnsi="Times New Roman"/>
          <w:b w:val="false"/>
          <w:i w:val="false"/>
          <w:color w:val="000000"/>
          <w:sz w:val="22"/>
        </w:rPr>
        <w:t>The board, on the recommendation of the committee, may deny an application for licensure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requirements for licensure specified in rule </w:t>
      </w:r>
      <w:hyperlink r:id="rId9">
        <w:r>
          <w:rPr>
            <w:rStyle w:val="Hyperlink"/>
            <w:rFonts w:ascii="Times New Roman" w:hAnsi="Times New Roman"/>
            <w:b w:val="false"/>
            <w:i w:val="false"/>
            <w:color w:val="000000"/>
            <w:sz w:val="22"/>
          </w:rPr>
          <w:t>481—656.3</w:t>
        </w:r>
      </w:hyperlink>
      <w:r>
        <w:rPr>
          <w:rFonts w:ascii="Times New Roman" w:hAnsi="Times New Roman"/>
          <w:b w:val="false"/>
          <w:i w:val="false"/>
          <w:color w:val="000000"/>
          <w:sz w:val="22"/>
        </w:rPr>
        <w:t xml:space="preserve">(147,148E) as authorized by Iowa Code section </w:t>
      </w:r>
      <w:hyperlink r:id="rId10">
        <w:r>
          <w:rPr>
            <w:rStyle w:val="Hyperlink"/>
            <w:rFonts w:ascii="Times New Roman" w:hAnsi="Times New Roman"/>
            <w:b w:val="false"/>
            <w:i w:val="false"/>
            <w:color w:val="000000"/>
            <w:sz w:val="22"/>
          </w:rPr>
          <w:t>148E.2</w:t>
        </w:r>
      </w:hyperlink>
      <w:r>
        <w:rPr>
          <w:rFonts w:ascii="Times New Roman" w:hAnsi="Times New Roman"/>
          <w:b w:val="false"/>
          <w:i w:val="false"/>
          <w:color w:val="000000"/>
          <w:sz w:val="22"/>
        </w:rPr>
        <w:t xml:space="preserve"> or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1">
        <w:r>
          <w:rPr>
            <w:rStyle w:val="Hyperlink"/>
            <w:rFonts w:ascii="Times New Roman" w:hAnsi="Times New Roman"/>
            <w:b w:val="false"/>
            <w:i w:val="false"/>
            <w:color w:val="000000"/>
            <w:sz w:val="22"/>
          </w:rPr>
          <w:t>147.4</w:t>
        </w:r>
      </w:hyperlink>
      <w:r>
        <w:rPr>
          <w:rFonts w:ascii="Times New Roman" w:hAnsi="Times New Roman"/>
          <w:b w:val="false"/>
          <w:i w:val="false"/>
          <w:color w:val="000000"/>
          <w:sz w:val="22"/>
        </w:rPr>
        <w:t xml:space="preserve">, upon any of the grounds for which licensure may be revoked or suspended as specified in Iowa Code sections </w:t>
      </w:r>
      <w:hyperlink r:id="rId12">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148E.8</w:t>
        </w:r>
      </w:hyperlink>
      <w:r>
        <w:rPr>
          <w:rFonts w:ascii="Times New Roman" w:hAnsi="Times New Roman"/>
          <w:b w:val="false"/>
          <w:i w:val="false"/>
          <w:color w:val="000000"/>
          <w:sz w:val="22"/>
        </w:rPr>
        <w:t xml:space="preserve"> or in </w:t>
      </w:r>
      <w:hyperlink r:id="rId14">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656.4(7)</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of denial. </w:t>
      </w:r>
      <w:r>
        <w:rPr>
          <w:rFonts w:ascii="Times New Roman" w:hAnsi="Times New Roman"/>
          <w:b w:val="false"/>
          <w:i w:val="false"/>
          <w:color w:val="000000"/>
          <w:sz w:val="22"/>
        </w:rPr>
        <w:t>Prior to the denial of licensure to an applicant, the board will issue a preliminary notice of denial that will be sent to the applicant by regular, first-class mail at the address provided by the applicant. The preliminary notice of denial is a public record and cites the factual and legal basis for denying the application, notifies the applicant of the appeal process, and specifies the date upon which the denial will become final if it is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656.4(8)</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An applicant who has received a preliminary notice of denial may appeal the denial and request a hearing on the issues related to the preliminary notice of denial by serving a request for hearing upon the executive director not more than 30 calendar days following the date when the preliminary notice of denial was mailed. The applicant’s current address shall be provided in the request for hearing. The request is deemed filed on the date it is received in the board office. If the request is received with a USPS nonmetered postmark, the board will consider the postmark date as the date the request is filed. The request shall specify the factual or legal errors and that the applicant desires an evidentiary hearing and may provide additional written information or documents in support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656.4(9)</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an applicant appeals the preliminary notice of denial and requests a hearing, the hearing will be a contested case open to the public and conducted in accordance with </w:t>
      </w:r>
      <w:hyperlink r:id="rId1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656.4(10)</w:t>
      </w:r>
      <w:r>
        <w:rPr>
          <w:rFonts w:ascii="Times New Roman" w:hAnsi="Times New Roman"/>
          <w:b w:val="false"/>
          <w:i w:val="false"/>
          <w:color w:val="000000"/>
          <w:sz w:val="22"/>
        </w:rPr>
        <w:t> </w:t>
      </w:r>
      <w:r>
        <w:rPr>
          <w:rFonts w:ascii="Times New Roman" w:hAnsi="Times New Roman"/>
          <w:b w:val="false"/>
          <w:i/>
          <w:color w:val="000000"/>
          <w:sz w:val="22"/>
        </w:rPr>
        <w:t xml:space="preserve">Finality. </w:t>
      </w:r>
      <w:r>
        <w:rPr>
          <w:rFonts w:ascii="Times New Roman" w:hAnsi="Times New Roman"/>
          <w:b w:val="false"/>
          <w:i w:val="false"/>
          <w:color w:val="000000"/>
          <w:sz w:val="22"/>
        </w:rPr>
        <w:t xml:space="preserve">If an applicant does not appeal a preliminary notice of denial in accordance with subrule </w:t>
      </w:r>
      <w:hyperlink r:id="rId16">
        <w:r>
          <w:rPr>
            <w:rStyle w:val="Hyperlink"/>
            <w:rFonts w:ascii="Times New Roman" w:hAnsi="Times New Roman"/>
            <w:b w:val="false"/>
            <w:i w:val="false"/>
            <w:color w:val="000000"/>
            <w:sz w:val="22"/>
          </w:rPr>
          <w:t>656.4(8)</w:t>
        </w:r>
      </w:hyperlink>
      <w:r>
        <w:rPr>
          <w:rFonts w:ascii="Times New Roman" w:hAnsi="Times New Roman"/>
          <w:b w:val="false"/>
          <w:i w:val="false"/>
          <w:color w:val="000000"/>
          <w:sz w:val="22"/>
        </w:rPr>
        <w:t>, the preliminary notice of denial automatically becomes final. A final denial of an application for licensure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656.4(11)</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appeal. </w:t>
      </w:r>
      <w:r>
        <w:rPr>
          <w:rFonts w:ascii="Times New Roman" w:hAnsi="Times New Roman"/>
          <w:b w:val="false"/>
          <w:i w:val="false"/>
          <w:color w:val="000000"/>
          <w:sz w:val="22"/>
        </w:rPr>
        <w:t xml:space="preserve">If an applicant appeals a preliminary notice of denial in accordance with subrule </w:t>
      </w:r>
      <w:hyperlink r:id="rId17">
        <w:r>
          <w:rPr>
            <w:rStyle w:val="Hyperlink"/>
            <w:rFonts w:ascii="Times New Roman" w:hAnsi="Times New Roman"/>
            <w:b w:val="false"/>
            <w:i w:val="false"/>
            <w:color w:val="000000"/>
            <w:sz w:val="22"/>
          </w:rPr>
          <w:t>656.4(8)</w:t>
        </w:r>
      </w:hyperlink>
      <w:r>
        <w:rPr>
          <w:rFonts w:ascii="Times New Roman" w:hAnsi="Times New Roman"/>
          <w:b w:val="false"/>
          <w:i w:val="false"/>
          <w:color w:val="000000"/>
          <w:sz w:val="22"/>
        </w:rPr>
        <w:t xml:space="preserve"> but the applicant fails to pursue that appeal to a final decision within one year from the date of the preliminary notice of denial, the board may dismiss the appeal. The appeal may be dismissed only after the board sends a written notice by first-class mail to the applicant at the applicant’s last-known address. The notice will state that the appeal will be dismissed and the preliminary notice of denial will become final if the applicant does not contact the board to schedule the appeal hearing within 30 days of the date the letter is mailed from the board office. Upon dismissal of an appeal, the preliminary notice of denial becomes final. A final denial of an application for licensure under this rule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656.4(12)</w:t>
      </w:r>
      <w:r>
        <w:rPr>
          <w:rFonts w:ascii="Times New Roman" w:hAnsi="Times New Roman"/>
          <w:b w:val="false"/>
          <w:i w:val="false"/>
          <w:color w:val="000000"/>
          <w:sz w:val="22"/>
        </w:rPr>
        <w:t> </w:t>
      </w:r>
      <w:r>
        <w:rPr>
          <w:rFonts w:ascii="Times New Roman" w:hAnsi="Times New Roman"/>
          <w:b w:val="false"/>
          <w:i/>
          <w:color w:val="000000"/>
          <w:sz w:val="22"/>
        </w:rPr>
        <w:t xml:space="preserve">Waiver prohibited. </w:t>
      </w:r>
      <w:r>
        <w:rPr>
          <w:rFonts w:ascii="Times New Roman" w:hAnsi="Times New Roman"/>
          <w:b w:val="false"/>
          <w:i w:val="false"/>
          <w:color w:val="000000"/>
          <w:sz w:val="22"/>
        </w:rPr>
        <w:t xml:space="preserve">Provisions of this rule are not subject to waiver pursuant to   </w:t>
      </w:r>
      <w:hyperlink r:id="rId18">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651.2.pdf" Type="http://schemas.openxmlformats.org/officeDocument/2006/relationships/hyperlink" Id="rId4"/>
    <Relationship TargetMode="External" Target="https://www.legis.iowa.gov/docs/iac/rule/481.651.2.pdf" Type="http://schemas.openxmlformats.org/officeDocument/2006/relationships/hyperlink" Id="rId5"/>
    <Relationship TargetMode="External" Target="https://www.legis.iowa.gov/docs/iac/rule/481.651.2.pdf" Type="http://schemas.openxmlformats.org/officeDocument/2006/relationships/hyperlink" Id="rId6"/>
    <Relationship TargetMode="External" Target="https://www.legis.iowa.gov/docs/iac/rule/653.656.4.pdf" Type="http://schemas.openxmlformats.org/officeDocument/2006/relationships/hyperlink" Id="rId7"/>
    <Relationship TargetMode="External" Target="https://www.legis.iowa.gov/docs/iac/rule/653.656.4.pdf" Type="http://schemas.openxmlformats.org/officeDocument/2006/relationships/hyperlink" Id="rId8"/>
    <Relationship TargetMode="External" Target="https://www.legis.iowa.gov/docs/iac/rule/481.656.3.pdf" Type="http://schemas.openxmlformats.org/officeDocument/2006/relationships/hyperlink" Id="rId9"/>
    <Relationship TargetMode="External" Target="https://www.legis.iowa.gov/docs/ico/chapter/148E.2.pdf" Type="http://schemas.openxmlformats.org/officeDocument/2006/relationships/hyperlink" Id="rId10"/>
    <Relationship TargetMode="External" Target="https://www.legis.iowa.gov/docs/ico/chapter/147.4.pdf" Type="http://schemas.openxmlformats.org/officeDocument/2006/relationships/hyperlink" Id="rId11"/>
    <Relationship TargetMode="External" Target="https://www.legis.iowa.gov/docs/ico/chapter/147.55.pdf" Type="http://schemas.openxmlformats.org/officeDocument/2006/relationships/hyperlink" Id="rId12"/>
    <Relationship TargetMode="External" Target="https://www.legis.iowa.gov/docs/ico/chapter/148E.8.pdf" Type="http://schemas.openxmlformats.org/officeDocument/2006/relationships/hyperlink" Id="rId13"/>
    <Relationship TargetMode="External" Target="https://www.legis.iowa.gov/docs/iac/chapter/481.8.pdf" Type="http://schemas.openxmlformats.org/officeDocument/2006/relationships/hyperlink" Id="rId14"/>
    <Relationship TargetMode="External" Target="https://www.legis.iowa.gov/docs/iac/chapter/481.506.pdf" Type="http://schemas.openxmlformats.org/officeDocument/2006/relationships/hyperlink" Id="rId15"/>
    <Relationship TargetMode="External" Target="https://www.legis.iowa.gov/docs/iac/rule/653.656.4.pdf" Type="http://schemas.openxmlformats.org/officeDocument/2006/relationships/hyperlink" Id="rId16"/>
    <Relationship TargetMode="External" Target="https://www.legis.iowa.gov/docs/iac/rule/653.656.4.pdf" Type="http://schemas.openxmlformats.org/officeDocument/2006/relationships/hyperlink" Id="rId17"/>
    <Relationship TargetMode="External" Target="https://www.legis.iowa.gov/docs/iac/chapter/7.2504.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