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481—656.3</w:t>
      </w:r>
      <w:r>
        <w:rPr>
          <w:rFonts w:ascii="Times New Roman" w:hAnsi="Times New Roman"/>
          <w:b/>
          <w:i w:val="false"/>
          <w:color w:val="000000"/>
          <w:sz w:val="22"/>
        </w:rPr>
        <w:t xml:space="preserve">(147,148E) </w:t>
      </w:r>
      <w:r>
        <w:rPr>
          <w:rFonts w:ascii="Times New Roman" w:hAnsi="Times New Roman"/>
          <w:b/>
          <w:i w:val="false"/>
          <w:color w:val="000000"/>
          <w:sz w:val="22"/>
        </w:rPr>
        <w:t xml:space="preserve">Eligibility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656.3(1)</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w:t>
      </w:r>
      <w:r>
        <w:rPr>
          <w:rFonts w:ascii="Times New Roman" w:hAnsi="Times New Roman"/>
          <w:b w:val="false"/>
          <w:i w:val="false"/>
          <w:color w:val="000000"/>
          <w:sz w:val="22"/>
        </w:rPr>
        <w:t>To be licensed to practice acupuncture by the board, a person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all the application requirements as specified in rule </w:t>
      </w:r>
      <w:hyperlink r:id="rId4">
        <w:r>
          <w:rPr>
            <w:rStyle w:val="Hyperlink"/>
            <w:rFonts w:ascii="Times New Roman" w:hAnsi="Times New Roman"/>
            <w:b w:val="false"/>
            <w:i w:val="false"/>
            <w:color w:val="000000"/>
            <w:sz w:val="22"/>
          </w:rPr>
          <w:t>481—656.4</w:t>
        </w:r>
      </w:hyperlink>
      <w:r>
        <w:rPr>
          <w:rFonts w:ascii="Times New Roman" w:hAnsi="Times New Roman"/>
          <w:b w:val="false"/>
          <w:i w:val="false"/>
          <w:color w:val="000000"/>
          <w:sz w:val="22"/>
        </w:rPr>
        <w:t>(147,148E).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current active status as a diplomate in NCCAOM or, after June 1, 2004, hold current active status as a diplomate in acupuncture or oriental medicine from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Demonstrate sufficient knowledge of the English language to understand and be understood by patients and board and committee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who passed the NCCAOM written and practical examination components in English may be presumed to have sufficient proficiency in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who passed NCCAOM written or practical examination components in a language other than English shall pass the Test of Spoken English (TSE) or the Test of English as a Foreign Language (TOEFL) examinations administered by the Educational Testing Service or shall pass the OET medicine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three-year postsecondary training program or acupuncture college program that is accredited by, in candidacy for accreditation by, or that meets the standards of the Accreditation Commission for Acupuncture and Oriental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course in clean needle technique approved by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5">
        <w:r>
          <w:rPr>
            <w:rStyle w:val="Hyperlink"/>
            <w:rFonts w:ascii="Times New Roman" w:hAnsi="Times New Roman"/>
            <w:b w:val="false"/>
            <w:i w:val="false"/>
            <w:color w:val="000000"/>
            <w:sz w:val="22"/>
          </w:rPr>
          <w:t>481—subrule 652.3(3)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656.3(2)</w:t>
      </w:r>
      <w:r>
        <w:rPr>
          <w:rFonts w:ascii="Times New Roman" w:hAnsi="Times New Roman"/>
          <w:b w:val="false"/>
          <w:i w:val="false"/>
          <w:color w:val="000000"/>
          <w:sz w:val="22"/>
        </w:rPr>
        <w:t> </w:t>
      </w:r>
      <w:r>
        <w:rPr>
          <w:rFonts w:ascii="Times New Roman" w:hAnsi="Times New Roman"/>
          <w:b w:val="false"/>
          <w:i/>
          <w:color w:val="000000"/>
          <w:sz w:val="22"/>
        </w:rPr>
        <w:t xml:space="preserve">Waiver prohibited. </w:t>
      </w:r>
      <w:r>
        <w:rPr>
          <w:rFonts w:ascii="Times New Roman" w:hAnsi="Times New Roman"/>
          <w:b w:val="false"/>
          <w:i w:val="false"/>
          <w:color w:val="000000"/>
          <w:sz w:val="22"/>
        </w:rPr>
        <w:t xml:space="preserve">Provisions of this rule are not subject to waiver pursuant to </w:t>
      </w:r>
      <w:hyperlink r:id="rId6">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i w:val="false"/>
          <w:color w:val="000000"/>
          <w:sz w:val="16"/>
        </w:rPr>
        <w:t>ARC 0465D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656.4.pdf" Type="http://schemas.openxmlformats.org/officeDocument/2006/relationships/hyperlink" Id="rId4"/>
    <Relationship TargetMode="External" Target="https://www.legis.iowa.gov/docs/iac/rule/481.652.3.pdf" Type="http://schemas.openxmlformats.org/officeDocument/2006/relationships/hyperlink" Id="rId5"/>
    <Relationship TargetMode="External" Target="https://www.legis.iowa.gov/docs/iac/chapter/7.2504.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