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481—653.6</w:t>
      </w:r>
      <w:r>
        <w:rPr>
          <w:rFonts w:ascii="Times New Roman" w:hAnsi="Times New Roman"/>
          <w:b/>
          <w:i w:val="false"/>
          <w:color w:val="000000"/>
          <w:sz w:val="22"/>
        </w:rPr>
        <w:t xml:space="preserve">(147,148,148J) </w:t>
      </w:r>
      <w:r>
        <w:rPr>
          <w:rFonts w:ascii="Times New Roman" w:hAnsi="Times New Roman"/>
          <w:b/>
          <w:i w:val="false"/>
          <w:color w:val="000000"/>
          <w:sz w:val="22"/>
        </w:rPr>
        <w:t xml:space="preserve">Provisional licensure for foreign medical graduates.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 provisional license to a foreign medical graduate who meets the qualifications provided in Iowa Code chapter </w:t>
      </w:r>
      <w:hyperlink r:id="rId4">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will specifically limit the licensee to practice at the health care facility that provided the foreign medical graduate with the offer of employment as required by Iowa Code chapter </w:t>
      </w:r>
      <w:hyperlink r:id="rId5">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to qualify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provisional license if the licensee has practiced outside the scope of this license, the licensee’s employment is terminated with the health care facility who offered the licensee employment to qualify for the provisional license, or the licensee ceases to have an eligible immigration status for employment in the United States of America or for any of the grounds for which licensure may be revoked or suspended as specified in Iowa Code sections </w:t>
      </w:r>
      <w:hyperlink r:id="rId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license is proposed, the board will promptly notify the licensee by serving a statement of charges and notice of hearing upon the licensee pursuant to </w:t>
      </w:r>
      <w:hyperlink r:id="rId1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This contested case proceeding shall be governed by the provisions of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the licensee’s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653.6(2)</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eligibility. </w:t>
      </w:r>
      <w:r>
        <w:rPr>
          <w:rFonts w:ascii="Times New Roman" w:hAnsi="Times New Roman"/>
          <w:b w:val="false"/>
          <w:i w:val="false"/>
          <w:color w:val="000000"/>
          <w:sz w:val="22"/>
        </w:rPr>
        <w:t>To be eligible for a provisional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12">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international medical program in good standing. This can be achieved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international medical program the licensee successfully completed is approved by the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presenting sufficient evidence to the board that the international medical program the applicant completed is substantially similar to the requirements of the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in good standing with and have no pending discipline before the licensing or regulatory institution in the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practice in medicine and surgery or osteopathic medicine and surgery as a licensed physician for five years following the completion of a residency or substantially similar postgraduate medical training. The applicant can demonstrate the postgraduate medical training is substantially similar to a residency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residency or postgraduate training is approved by the ACGME, AOA, RCPSC, or CFPC;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presenting sufficient evidence to the board that the residency or postgraduate training is substantially similar to the requirements of one of the four agencies listed in subparagraph </w:t>
      </w:r>
      <w:hyperlink r:id="rId13">
        <w:r>
          <w:rPr>
            <w:rStyle w:val="Hyperlink"/>
            <w:rFonts w:ascii="Times New Roman" w:hAnsi="Times New Roman"/>
            <w:b w:val="false"/>
            <w:i w:val="false"/>
            <w:color w:val="000000"/>
            <w:sz w:val="22"/>
          </w:rPr>
          <w:t>653.6(2)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TSE or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4">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passing score in all steps of the USMLE.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653.6(3)</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provisional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15">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the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from the director or the director’s designee of the medical licensing or regulatory institution in the individual’s resident country that the applicant’s license is in good standing and is not subject to any pending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certified record from the national policy agency in the individual’s resident country of a complete criminal history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or verification of a passing score on the OET medicine test;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and supporting documents from the health care facility offering employment to the provisional licensee applicant that the facility has had the applicant’s immigration status reviewed by a licensed attorney of this jurisdiction and a determination was made that the applicant has proper immigration status for employment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653.6(4)</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review process. </w:t>
      </w:r>
      <w:r>
        <w:rPr>
          <w:rFonts w:ascii="Times New Roman" w:hAnsi="Times New Roman"/>
          <w:b w:val="false"/>
          <w:i w:val="false"/>
          <w:color w:val="000000"/>
          <w:sz w:val="22"/>
        </w:rPr>
        <w:t>The process below shall be utilized to review each application for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is considered open from the date the application form is received in the board office with the nonrefundable provisional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or the health care facility offering the applicant employment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will determine whether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16">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653.6(5)</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new documents and new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653.6(6)</w:t>
      </w:r>
      <w:r>
        <w:rPr>
          <w:rFonts w:ascii="Times New Roman" w:hAnsi="Times New Roman"/>
          <w:b w:val="false"/>
          <w:i w:val="false"/>
          <w:color w:val="000000"/>
          <w:sz w:val="22"/>
        </w:rPr>
        <w:t> </w:t>
      </w:r>
      <w:r>
        <w:rPr>
          <w:rFonts w:ascii="Times New Roman" w:hAnsi="Times New Roman"/>
          <w:b w:val="false"/>
          <w:i/>
          <w:color w:val="000000"/>
          <w:sz w:val="22"/>
        </w:rPr>
        <w:t xml:space="preserve">Renewal of a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provisional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17">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18">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chief medical officer for the health care facility employing the licensee that addresses the individual’s fitness to the practice of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provisional license is granted according to subrules </w:t>
      </w:r>
      <w:hyperlink r:id="rId19">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653.6(7)</w:t>
      </w:r>
      <w:r>
        <w:rPr>
          <w:rFonts w:ascii="Times New Roman" w:hAnsi="Times New Roman"/>
          <w:b w:val="false"/>
          <w:i w:val="false"/>
          <w:color w:val="000000"/>
          <w:sz w:val="22"/>
        </w:rPr>
        <w:t> </w:t>
      </w:r>
      <w:r>
        <w:rPr>
          <w:rFonts w:ascii="Times New Roman" w:hAnsi="Times New Roman"/>
          <w:b w:val="false"/>
          <w:i/>
          <w:color w:val="000000"/>
          <w:sz w:val="22"/>
        </w:rPr>
        <w:t xml:space="preserve">Conversion of a provisional license to a full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three consecutive years of holding a provisional license in good standing, the provisional licensee may apply to have the licensee’s license converted to a full license to practice medicine and surgery or osteopathic medicine and surgery, provided the license has not been revoked pursuant to Iowa Code section </w:t>
      </w:r>
      <w:hyperlink r:id="rId21">
        <w:r>
          <w:rPr>
            <w:rStyle w:val="Hyperlink"/>
            <w:rFonts w:ascii="Times New Roman" w:hAnsi="Times New Roman"/>
            <w:b w:val="false"/>
            <w:i w:val="false"/>
            <w:color w:val="000000"/>
            <w:sz w:val="22"/>
          </w:rPr>
          <w:t>148J.2</w:t>
        </w:r>
      </w:hyperlink>
      <w:r>
        <w:rPr>
          <w:rFonts w:ascii="Times New Roman" w:hAnsi="Times New Roman"/>
          <w:b w:val="false"/>
          <w:i w:val="false"/>
          <w:color w:val="000000"/>
          <w:sz w:val="22"/>
        </w:rPr>
        <w:t>. The provisional licensee may alternatively elect to continue to renew the licensee’s provisional license on a yearly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provisional licensee shall make application to the board for conversion of the licensee’s provisional license using the application form provided by the board. The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22">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23">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submitted by the chief medical officer for the health care facility employing the licensee, that addresses the individual’s fitness to practice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criminal background check as described in subrule </w:t>
      </w:r>
      <w:hyperlink r:id="rId24">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the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J.pdf" Type="http://schemas.openxmlformats.org/officeDocument/2006/relationships/hyperlink" Id="rId4"/>
    <Relationship TargetMode="External" Target="https://www.legis.iowa.gov/docs/ico/chapter/148J.pdf" Type="http://schemas.openxmlformats.org/officeDocument/2006/relationships/hyperlink" Id="rId5"/>
    <Relationship TargetMode="External" Target="https://www.legis.iowa.gov/docs/ico/chapter/147.55.pdf" Type="http://schemas.openxmlformats.org/officeDocument/2006/relationships/hyperlink" Id="rId6"/>
    <Relationship TargetMode="External" Target="https://www.legis.iowa.gov/docs/ico/chapter/148.6.pdf" Type="http://schemas.openxmlformats.org/officeDocument/2006/relationships/hyperlink" Id="rId7"/>
    <Relationship TargetMode="External" Target="https://www.legis.iowa.gov/docs/ico/chapter/272C.10.pdf" Type="http://schemas.openxmlformats.org/officeDocument/2006/relationships/hyperlink" Id="rId8"/>
    <Relationship TargetMode="External" Target="https://www.legis.iowa.gov/docs/iac/chapter/481.661.pdf" Type="http://schemas.openxmlformats.org/officeDocument/2006/relationships/hyperlink" Id="rId9"/>
    <Relationship TargetMode="External" Target="https://www.legis.iowa.gov/docs/iac/chapter/481.506.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rule/653.653.6.pdf" Type="http://schemas.openxmlformats.org/officeDocument/2006/relationships/hyperlink" Id="rId12"/>
    <Relationship TargetMode="External" Target="https://www.legis.iowa.gov/docs/iac/rule/653.653.6.pdf" Type="http://schemas.openxmlformats.org/officeDocument/2006/relationships/hyperlink" Id="rId13"/>
    <Relationship TargetMode="External" Target="https://www.legis.iowa.gov/docs/iac/rule/481.652.3.pdf" Type="http://schemas.openxmlformats.org/officeDocument/2006/relationships/hyperlink" Id="rId14"/>
    <Relationship TargetMode="External" Target="https://www.legis.iowa.gov/docs/iac/rule/481.651.4.pdf" Type="http://schemas.openxmlformats.org/officeDocument/2006/relationships/hyperlink" Id="rId15"/>
    <Relationship TargetMode="External" Target="https://www.legis.iowa.gov/docs/iac/rule/481.652.15.pdf" Type="http://schemas.openxmlformats.org/officeDocument/2006/relationships/hyperlink" Id="rId16"/>
    <Relationship TargetMode="External" Target="https://www.legis.iowa.gov/docs/iac/rule/481.651.4.pdf" Type="http://schemas.openxmlformats.org/officeDocument/2006/relationships/hyperlink" Id="rId17"/>
    <Relationship TargetMode="External" Target="https://www.legis.iowa.gov/docs/iac/chapter/481.654.pdf" Type="http://schemas.openxmlformats.org/officeDocument/2006/relationships/hyperlink" Id="rId18"/>
    <Relationship TargetMode="External" Target="https://www.legis.iowa.gov/docs/iac/rule/653.653.4.pdf" Type="http://schemas.openxmlformats.org/officeDocument/2006/relationships/hyperlink" Id="rId19"/>
    <Relationship TargetMode="External" Target="https://www.legis.iowa.gov/docs/iac/rule/653.653.4.pdf" Type="http://schemas.openxmlformats.org/officeDocument/2006/relationships/hyperlink" Id="rId20"/>
    <Relationship TargetMode="External" Target="https://www.legis.iowa.gov/docs/ico/chapter/148J.2.pdf" Type="http://schemas.openxmlformats.org/officeDocument/2006/relationships/hyperlink" Id="rId21"/>
    <Relationship TargetMode="External" Target="https://www.legis.iowa.gov/docs/iac/rule/481.651.4.pdf" Type="http://schemas.openxmlformats.org/officeDocument/2006/relationships/hyperlink" Id="rId22"/>
    <Relationship TargetMode="External" Target="https://www.legis.iowa.gov/docs/iac/chapter/481.654.pdf" Type="http://schemas.openxmlformats.org/officeDocument/2006/relationships/hyperlink" Id="rId23"/>
    <Relationship TargetMode="External" Target="https://www.legis.iowa.gov/docs/iac/rule/653.653.6.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