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481—653.4</w:t>
      </w:r>
      <w:r>
        <w:rPr>
          <w:rFonts w:ascii="Times New Roman" w:hAnsi="Times New Roman"/>
          <w:b/>
          <w:i w:val="false"/>
          <w:color w:val="000000"/>
          <w:sz w:val="22"/>
        </w:rPr>
        <w:t xml:space="preserve">(147,148) </w:t>
      </w:r>
      <w:r>
        <w:rPr>
          <w:rFonts w:ascii="Times New Roman" w:hAnsi="Times New Roman"/>
          <w:b/>
          <w:i w:val="false"/>
          <w:color w:val="000000"/>
          <w:sz w:val="22"/>
        </w:rPr>
        <w:t xml:space="preserve">Special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grant a special license to a physician who is an academic staff member of a college of medicine or osteopathic medicine if that physician does not meet the qualifications for permanent licensure but is held in high esteem for unique contributions the individual has made to medicine and will make by practicing in Iowa. The license is not designed for physicians in regular faculty positions that could be filled by a physician qualified for permanent licensure in Iowa or for the purpose of training the physician who receives the license. The board will consider granting and renewing a special license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specifically limit the licensee to practice at the medical college and at any health care facility affiliated with the medical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automatically be placed on inactive status when the licensee discontinues service on the academic medical staff for which the special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special license if the licensee has practiced outside the scope of this license or for any of the grounds for which licensure may be revoked or suspended as specified in Iowa Code sections </w:t>
      </w:r>
      <w:hyperlink r:id="rId4">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a license is proposed, the board shall promptly notify the licensee by sending a statement of charges and notice of hearing by certified mail to the last-known address of the licensee. This contested case proceeding shall be governed by the provisions of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postgraduate training in a hospital-affiliated program approved by the board for the purposes of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eligibility. </w:t>
      </w:r>
      <w:r>
        <w:rPr>
          <w:rFonts w:ascii="Times New Roman" w:hAnsi="Times New Roman"/>
          <w:b w:val="false"/>
          <w:i w:val="false"/>
          <w:color w:val="000000"/>
          <w:sz w:val="22"/>
        </w:rPr>
        <w:t>To be eligible for a special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9">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physician in a medical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educational institution that is located in a jurisdiction outside the United States or Canada and that is listed in the Directory of Medical Schools published by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two years of postgraduate education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practiced for five years after postgraduate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Test of Spoken English (TSE) or the Test of English as a Foreign Language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0">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653.4(3)</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special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11">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 a letter from the dean of the medical college in which the applicant will be practicing that indicates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invited to serve on the academic staff of the medical school and in what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qualifications and the unique contributions the applicant has made to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unique contributions the applicant is expected to make by practicing in Iowa and how these contributions will serve the public interest of Iowans;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at least two letters of recommendation from universities, other educational institutions, or research facilities that indicate the applicant’s noteworthy professional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review process. </w:t>
      </w:r>
      <w:r>
        <w:rPr>
          <w:rFonts w:ascii="Times New Roman" w:hAnsi="Times New Roman"/>
          <w:b w:val="false"/>
          <w:i w:val="false"/>
          <w:color w:val="000000"/>
          <w:sz w:val="22"/>
        </w:rPr>
        <w:t>The process below shall be utilized to review each application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special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the applicant’s academic institution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12">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653.4(6)</w:t>
      </w:r>
      <w:r>
        <w:rPr>
          <w:rFonts w:ascii="Times New Roman" w:hAnsi="Times New Roman"/>
          <w:b w:val="false"/>
          <w:i w:val="false"/>
          <w:color w:val="000000"/>
          <w:sz w:val="22"/>
        </w:rPr>
        <w:t> </w:t>
      </w:r>
      <w:r>
        <w:rPr>
          <w:rFonts w:ascii="Times New Roman" w:hAnsi="Times New Roman"/>
          <w:b w:val="false"/>
          <w:i/>
          <w:color w:val="000000"/>
          <w:sz w:val="22"/>
        </w:rPr>
        <w:t xml:space="preserve">Renewal of a special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special physician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13">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14">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dean of the medical college that addresses the individual’s unique contribution to the practice of medicine in Iowa, how the anticipated contribution will serve the public interest of Iowans, and the need for renewal of this license. For a licensee who received the initial special license prior to July 1, 2001, the only statement needed from the dean is verification of the academic appointment the licensee continues to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special license is granted according to subrules </w:t>
      </w:r>
      <w:hyperlink r:id="rId15">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55.pdf" Type="http://schemas.openxmlformats.org/officeDocument/2006/relationships/hyperlink" Id="rId4"/>
    <Relationship TargetMode="External" Target="https://www.legis.iowa.gov/docs/ico/chapter/148.6.pdf" Type="http://schemas.openxmlformats.org/officeDocument/2006/relationships/hyperlink" Id="rId5"/>
    <Relationship TargetMode="External" Target="https://www.legis.iowa.gov/docs/ico/chapter/272C.10.pdf" Type="http://schemas.openxmlformats.org/officeDocument/2006/relationships/hyperlink" Id="rId6"/>
    <Relationship TargetMode="External" Target="https://www.legis.iowa.gov/docs/iac/chapter/481.661.pdf" Type="http://schemas.openxmlformats.org/officeDocument/2006/relationships/hyperlink" Id="rId7"/>
    <Relationship TargetMode="External" Target="https://www.legis.iowa.gov/docs/iac/chapter/481.506.pdf" Type="http://schemas.openxmlformats.org/officeDocument/2006/relationships/hyperlink" Id="rId8"/>
    <Relationship TargetMode="External" Target="https://www.legis.iowa.gov/docs/iac/rule/653.653.4.pdf" Type="http://schemas.openxmlformats.org/officeDocument/2006/relationships/hyperlink" Id="rId9"/>
    <Relationship TargetMode="External" Target="https://www.legis.iowa.gov/docs/iac/rule/481.652.3.pdf" Type="http://schemas.openxmlformats.org/officeDocument/2006/relationships/hyperlink" Id="rId10"/>
    <Relationship TargetMode="External" Target="https://www.legis.iowa.gov/docs/iac/rule/481.651.4.pdf" Type="http://schemas.openxmlformats.org/officeDocument/2006/relationships/hyperlink" Id="rId11"/>
    <Relationship TargetMode="External" Target="https://www.legis.iowa.gov/docs/iac/rule/481.652.15.pdf" Type="http://schemas.openxmlformats.org/officeDocument/2006/relationships/hyperlink" Id="rId12"/>
    <Relationship TargetMode="External" Target="https://www.legis.iowa.gov/docs/iac/rule/481.651.4.pdf" Type="http://schemas.openxmlformats.org/officeDocument/2006/relationships/hyperlink" Id="rId13"/>
    <Relationship TargetMode="External" Target="https://www.legis.iowa.gov/docs/iac/chapter/481.654.pdf" Type="http://schemas.openxmlformats.org/officeDocument/2006/relationships/hyperlink" Id="rId14"/>
    <Relationship TargetMode="External" Target="https://www.legis.iowa.gov/docs/iac/rule/653.653.4.pdf" Type="http://schemas.openxmlformats.org/officeDocument/2006/relationships/hyperlink" Id="rId15"/>
    <Relationship TargetMode="External" Target="https://www.legis.iowa.gov/docs/iac/rule/653.653.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