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481—652.2</w:t>
      </w:r>
      <w:r>
        <w:rPr>
          <w:rFonts w:ascii="Times New Roman" w:hAnsi="Times New Roman"/>
          <w:b/>
          <w:i w:val="false"/>
          <w:color w:val="000000"/>
          <w:sz w:val="22"/>
        </w:rPr>
        <w:t xml:space="preserve">(147,148) </w:t>
      </w:r>
      <w:r>
        <w:rPr>
          <w:rFonts w:ascii="Times New Roman" w:hAnsi="Times New Roman"/>
          <w:b/>
          <w:i w:val="false"/>
          <w:color w:val="000000"/>
          <w:sz w:val="22"/>
        </w:rPr>
        <w:t xml:space="preserve">General licensure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4">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subrule </w:t>
      </w:r>
      <w:hyperlink r:id="rId5">
        <w:r>
          <w:rPr>
            <w:rStyle w:val="Hyperlink"/>
            <w:rFonts w:ascii="Times New Roman" w:hAnsi="Times New Roman"/>
            <w:b w:val="false"/>
            <w:i w:val="false"/>
            <w:color w:val="000000"/>
            <w:sz w:val="22"/>
          </w:rPr>
          <w:t>652.2(2)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652.2(2)</w:t>
      </w:r>
      <w:r>
        <w:rPr>
          <w:rFonts w:ascii="Times New Roman" w:hAnsi="Times New Roman"/>
          <w:b w:val="false"/>
          <w:i w:val="false"/>
          <w:color w:val="000000"/>
          <w:sz w:val="22"/>
        </w:rPr>
        <w:t> </w:t>
      </w:r>
      <w:r>
        <w:rPr>
          <w:rFonts w:ascii="Times New Roman" w:hAnsi="Times New Roman"/>
          <w:b w:val="false"/>
          <w:i/>
          <w:color w:val="000000"/>
          <w:sz w:val="22"/>
        </w:rPr>
        <w:t xml:space="preserve">Licensure not required. </w:t>
      </w:r>
      <w:r>
        <w:rPr>
          <w:rFonts w:ascii="Times New Roman" w:hAnsi="Times New Roman"/>
          <w:b w:val="false"/>
          <w:i w:val="false"/>
          <w:color w:val="000000"/>
          <w:sz w:val="22"/>
        </w:rPr>
        <w:t>The following persons are not required to obtain a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described in Iowa Code section </w:t>
      </w:r>
      <w:hyperlink r:id="rId6">
        <w:r>
          <w:rPr>
            <w:rStyle w:val="Hyperlink"/>
            <w:rFonts w:ascii="Times New Roman" w:hAnsi="Times New Roman"/>
            <w:b w:val="false"/>
            <w:i w:val="false"/>
            <w:color w:val="000000"/>
            <w:sz w:val="22"/>
          </w:rPr>
          <w:t>148.2(1) through 148.2(5)</w:t>
        </w:r>
      </w:hyperlink>
      <w:r>
        <w:rPr>
          <w:rFonts w:ascii="Times New Roman" w:hAnsi="Times New Roman"/>
          <w:b w:val="false"/>
          <w:i w:val="false"/>
          <w:color w:val="000000"/>
          <w:sz w:val="22"/>
        </w:rPr>
        <w:t xml:space="preserve">. A medical student or osteopathic medical student in an international medical school may not take on the role of a medical student in the patient care setting unless the student is enrolled in the University of Iowa’s Carver College of Medicine or in Des Moines University’s College of Osteopathic Medicine; however, an international medical student or graduate of an international medical school not enrolled at either of these institutions may be an observer as defined in rule </w:t>
      </w:r>
      <w:hyperlink r:id="rId7">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who are incidentally called into this state in consultation with a physician or surgeon licensed in this state as described in Iowa Code section </w:t>
      </w:r>
      <w:hyperlink r:id="rId8">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and as defined in rule </w:t>
      </w:r>
      <w:hyperlink r:id="rId9">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and surgeons who hold a current, active license in good standing in another United States jurisdiction and who come into Iowa on a temporary basis to aid disaster victims at the time of a disaster in accordance with Iowa Code section </w:t>
      </w:r>
      <w:hyperlink r:id="rId10">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to Iowa to participate in further medical education may participate in patient care under the request and supervision of the patient’s Iowa-licensed physician in charge of the education. The Iowa-licensed physician shall retain the primary responsibility for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into Iowa to serve as expert witnesses as long as they do not provide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from out of state who hold a current, active license in good standing in another United States jurisdiction and who accompany one or more individuals into Iowa for the purpose of providing medical care to these individuals on a short-term basis; e.g., a team physician for an out-of-state college football team that comes into Iowa for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come to Iowa to observe patient care and who do not provide or direct hands-on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Visiting resident physicians who come to Iowa to practice as part of their resident training program if under the supervision of an Iowa-licensed physician. An Iowa physician license is not required of a physician in training if the physician has a resident or permanent license in good standing in the home state of the resident training program. An Iowa temporary license is required of a physician in training if the physician does not hold a resident or permanent physician license in good standing in the home state of the resident training program (more information can be found in rule </w:t>
      </w:r>
      <w:hyperlink r:id="rId11">
        <w:r>
          <w:rPr>
            <w:rStyle w:val="Hyperlink"/>
            <w:rFonts w:ascii="Times New Roman" w:hAnsi="Times New Roman"/>
            <w:b w:val="false"/>
            <w:i w:val="false"/>
            <w:color w:val="000000"/>
            <w:sz w:val="22"/>
          </w:rPr>
          <w:t>481—653.5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652.2(3)</w:t>
      </w:r>
      <w:r>
        <w:rPr>
          <w:rFonts w:ascii="Times New Roman" w:hAnsi="Times New Roman"/>
          <w:b w:val="false"/>
          <w:i w:val="false"/>
          <w:color w:val="000000"/>
          <w:sz w:val="22"/>
        </w:rPr>
        <w:t> </w:t>
      </w:r>
      <w:r>
        <w:rPr>
          <w:rFonts w:ascii="Times New Roman" w:hAnsi="Times New Roman"/>
          <w:b w:val="false"/>
          <w:i/>
          <w:color w:val="000000"/>
          <w:sz w:val="22"/>
        </w:rPr>
        <w:t xml:space="preserve">Supervision of an observer. </w:t>
      </w:r>
      <w:r>
        <w:rPr>
          <w:rFonts w:ascii="Times New Roman" w:hAnsi="Times New Roman"/>
          <w:b w:val="false"/>
          <w:i w:val="false"/>
          <w:color w:val="000000"/>
          <w:sz w:val="22"/>
        </w:rPr>
        <w:t xml:space="preserve">An Iowa-licensed physician who supervises an observer shall accompany the observer and solicit consent from each patient, where feasible, for the observation. The physician shall inform the patient of the observer’s background; e.g., a high school student considering a medical career or a medical graduate who is working on licensure. The supervising physician ensures that the observer remains within the scope of an observer as defined in rule </w:t>
      </w:r>
      <w:hyperlink r:id="rId12">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1.pdf" Type="http://schemas.openxmlformats.org/officeDocument/2006/relationships/hyperlink" Id="rId4"/>
    <Relationship TargetMode="External" Target="https://www.legis.iowa.gov/docs/iac/rule/481.652.2.pdf" Type="http://schemas.openxmlformats.org/officeDocument/2006/relationships/hyperlink" Id="rId5"/>
    <Relationship TargetMode="External" Target="https://www.legis.iowa.gov/docs/ico/chapter/148.2.pdf" Type="http://schemas.openxmlformats.org/officeDocument/2006/relationships/hyperlink" Id="rId6"/>
    <Relationship TargetMode="External" Target="https://www.legis.iowa.gov/docs/iac/rule/481.652.1.pdf" Type="http://schemas.openxmlformats.org/officeDocument/2006/relationships/hyperlink" Id="rId7"/>
    <Relationship TargetMode="External" Target="https://www.legis.iowa.gov/docs/ico/chapter/148.2.pdf" Type="http://schemas.openxmlformats.org/officeDocument/2006/relationships/hyperlink" Id="rId8"/>
    <Relationship TargetMode="External" Target="https://www.legis.iowa.gov/docs/iac/rule/481.652.1.pdf" Type="http://schemas.openxmlformats.org/officeDocument/2006/relationships/hyperlink" Id="rId9"/>
    <Relationship TargetMode="External" Target="https://www.legis.iowa.gov/docs/ico/chapter/29C.6.pdf" Type="http://schemas.openxmlformats.org/officeDocument/2006/relationships/hyperlink" Id="rId10"/>
    <Relationship TargetMode="External" Target="https://www.legis.iowa.gov/docs/iac/rule/481.653.5.pdf" Type="http://schemas.openxmlformats.org/officeDocument/2006/relationships/hyperlink" Id="rId11"/>
    <Relationship TargetMode="External" Target="https://www.legis.iowa.gov/docs/iac/rule/481.652.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