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481—65.16</w:t>
      </w:r>
      <w:r>
        <w:rPr>
          <w:rFonts w:ascii="Times New Roman" w:hAnsi="Times New Roman"/>
          <w:b/>
          <w:i w:val="false"/>
          <w:color w:val="000000"/>
          <w:sz w:val="22"/>
        </w:rPr>
        <w:t xml:space="preserve">(135C) </w:t>
      </w:r>
      <w:r>
        <w:rPr>
          <w:rFonts w:ascii="Times New Roman" w:hAnsi="Times New Roman"/>
          <w:b/>
          <w:i w:val="false"/>
          <w:color w:val="000000"/>
          <w:sz w:val="22"/>
        </w:rPr>
        <w:t xml:space="preserve">Discharge or transfer. </w:t>
      </w:r>
      <w:r>
        <w:rPr>
          <w:rFonts w:ascii="Times New Roman" w:hAnsi="Times New Roman"/>
          <w:b w:val="false"/>
          <w:i w:val="false"/>
          <w:color w:val="000000"/>
          <w:sz w:val="22"/>
        </w:rPr>
        <w:t>Procedures for the discharge or transfer of the resident shall be established and followed.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w:t>
      </w:r>
      <w:r>
        <w:rPr>
          <w:rFonts w:ascii="Times New Roman" w:hAnsi="Times New Roman"/>
          <w:b w:val="false"/>
          <w:i w:val="false"/>
          <w:color w:val="000000"/>
          <w:sz w:val="22"/>
        </w:rPr>
        <w:t> </w:t>
      </w:r>
      <w:r>
        <w:rPr>
          <w:rFonts w:ascii="Times New Roman" w:hAnsi="Times New Roman"/>
          <w:b w:val="false"/>
          <w:i/>
          <w:color w:val="000000"/>
          <w:sz w:val="22"/>
        </w:rPr>
        <w:t xml:space="preserve">Discharge plan. </w:t>
      </w:r>
      <w:r>
        <w:rPr>
          <w:rFonts w:ascii="Times New Roman" w:hAnsi="Times New Roman"/>
          <w:b w:val="false"/>
          <w:i w:val="false"/>
          <w:color w:val="000000"/>
          <w:sz w:val="22"/>
        </w:rPr>
        <w:t>The decision to discharge a person and the plan for doing so shall be established through the participation of the resident, members of the interdisciplinary team and other resource personnel as appropriate for the welfare of the individual.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Discharge planning shall begin within 30 days of admission and be carried out in accordance with the IPP.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changes occur in a resident’s physical or mental condition necessitating services or care which cannot be adequately provided by the facility, the resident shall be transferred promptly to another appropriate facility pursuant to subrule </w:t>
      </w:r>
      <w:hyperlink r:id="rId4">
        <w:r>
          <w:rPr>
            <w:rStyle w:val="Hyperlink"/>
            <w:rFonts w:ascii="Times New Roman" w:hAnsi="Times New Roman"/>
            <w:b w:val="false"/>
            <w:i w:val="false"/>
            <w:color w:val="000000"/>
            <w:sz w:val="22"/>
          </w:rPr>
          <w:t>65.10(1)</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next of kin, legal representative, attending physician, and sponsoring agency, if any, prior to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arrangements shall be made for the welfare of the resident prior to the transfer or discharge in the event of an emergency or inability to reach the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directed by the physician, resident, legal representative, or court.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Advanced notification by telephone shall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current evaluation and treatment plan and progress notes for the last 30 days, as set forth in these rules, shall accompany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sent.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discharge or transfer authorization and summary shall be prepared for each resident who has been discharged or transferred from the facility. It shall be disseminated to appropriate persons to ensure continuity of care and in accordance with the requirements to ensure confidentiality.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r>
        <w:rPr>
          <w:rFonts w:ascii="Times New Roman" w:hAnsi="Times New Roman"/>
          <w:b w:val="false"/>
          <w:i w:val="false"/>
          <w:color w:val="000000"/>
          <w:sz w:val="22"/>
        </w:rPr>
        <w:t>Residents shall not be arbitrarily moved from room to room within a health care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Involuntary relocation may occur only to implement goals and objectives in the IPP and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behavior disturbing to roommates, as documented in the residents’ records;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which would otherwise not be possible due to separation of roommates by sex;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legal guardian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Punishment or behavior modification;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resident shall be notified at least 48 hours prior to the transfer and the reason shall be explained. The legal guardian shall be notified as soon as possible. The notification shall be documented in the resident’s record and signed by the resident or legal guardian within seven days unless documentation indicates that it was not possible to contact the legal guardian or obtain their signature.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to protect the safety or health of the resident or other residents, the notification requirements may be waived. The conditions of the emergency shall be documented. The family and legal guardian shall be notified immediately, or as soon as possible, of the condition requiring emergency relocation, and the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65.16(3)</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 based on the resident’s needs and determined and documented in the resident’s record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resident’s social, emotional or physical well-being or that of other residents, as documented by the administrator or designee with specific information to support the determination that the resident’s continued presence in the facility would adversely affect the resident’s own well-being or that of other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admission agreement for the resident’s stay. (I, II, III)</w:t>
      </w:r>
    </w:p>
    <w:p>
      <w:pPr>
        <w:spacing w:before="0" w:after="0"/>
        <w:ind w:left="120"/>
        <w:jc w:val="both"/>
      </w:pPr>
      <w:r>
        <w:rPr>
          <w:rFonts w:ascii="Times New Roman" w:hAnsi="Times New Roman"/>
          <w:b/>
          <w:i w:val="false"/>
          <w:color w:val="000000"/>
          <w:sz w:val="22"/>
        </w:rPr>
        <w:t>65.16(4)</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discharge—written notice. </w:t>
      </w:r>
      <w:r>
        <w:rPr>
          <w:rFonts w:ascii="Times New Roman" w:hAnsi="Times New Roman"/>
          <w:b w:val="false"/>
          <w:i w:val="false"/>
          <w:color w:val="000000"/>
          <w:sz w:val="22"/>
        </w:rPr>
        <w:t>Involuntary transfer or discharge of a resident from a facility shall be preceded by a written notice to the resident or the resident’s legal representative.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5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In emergency circumstances, provision may be made for extension of the 14-day requirement upon request to the department designee. If you lose the hearing, you will not be transferred before the expiration date of either (1) 30 days following your receipt of the original notice of the discharge or transfer, or (2) no sooner than 5 days following final decision of such hearing, including the exhaustion of all appeals, whichever occurs later. To request a hearing or receive further information, call the department at (515)281-4115 or you may write to the department to the attention of: Administrator, Division of Health Facilities, Iowa Department of Inspections and Appeals, Lucas State Office Building, Des Moines, Iowa 50319.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legal representative,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6">
        <w:r>
          <w:rPr>
            <w:rStyle w:val="Hyperlink"/>
            <w:rFonts w:ascii="Times New Roman" w:hAnsi="Times New Roman"/>
            <w:b w:val="false"/>
            <w:i w:val="false"/>
            <w:color w:val="000000"/>
            <w:sz w:val="22"/>
          </w:rPr>
          <w:t>65.16(4)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legal representative, and notification is given to the legal representative, the resident’s primary care provider,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7">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65.16(5)</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2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legal representative,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8">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65.16(6)</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hearing shall be public unless the resident or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and the resident’s legal representative not later than five full business days after the department’s receipt of the request. The notice shall also inform the facility and the resident or the resident’s legal representative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sent by certified mail to the facility, resident, and resident’s legal representative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legal representative,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11">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65.16(9)</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12">
        <w:r>
          <w:rPr>
            <w:rStyle w:val="Hyperlink"/>
            <w:rFonts w:ascii="Times New Roman" w:hAnsi="Times New Roman"/>
            <w:b w:val="false"/>
            <w:i w:val="false"/>
            <w:color w:val="000000"/>
            <w:sz w:val="22"/>
          </w:rPr>
          <w:t>65.16(9)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13">
        <w:r>
          <w:rPr>
            <w:rStyle w:val="Hyperlink"/>
            <w:rFonts w:ascii="Times New Roman" w:hAnsi="Times New Roman"/>
            <w:b w:val="false"/>
            <w:i w:val="false"/>
            <w:color w:val="000000"/>
            <w:sz w:val="22"/>
          </w:rPr>
          <w:t>65.16(5)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14">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10.pdf" Type="http://schemas.openxmlformats.org/officeDocument/2006/relationships/hyperlink" Id="rId4"/>
    <Relationship TargetMode="External" Target="https://www.legis.iowa.gov/docs/ico/chapter/229.pdf" Type="http://schemas.openxmlformats.org/officeDocument/2006/relationships/hyperlink" Id="rId5"/>
    <Relationship TargetMode="External" Target="https://www.legis.iowa.gov/docs/iac/rule/481.65.16.pdf" Type="http://schemas.openxmlformats.org/officeDocument/2006/relationships/hyperlink" Id="rId6"/>
    <Relationship TargetMode="External" Target="https://www.legis.iowa.gov/docs/iac/rule/481.65.16.pdf" Type="http://schemas.openxmlformats.org/officeDocument/2006/relationships/hyperlink" Id="rId7"/>
    <Relationship TargetMode="External" Target="https://www.legis.iowa.gov/docs/iac/rule/481.65.1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chapter/7.2506.pdf" Type="http://schemas.openxmlformats.org/officeDocument/2006/relationships/hyperlink" Id="rId10"/>
    <Relationship TargetMode="External" Target="https://www.legis.iowa.gov/docs/iac/rule/481.65.16.pdf" Type="http://schemas.openxmlformats.org/officeDocument/2006/relationships/hyperlink" Id="rId11"/>
    <Relationship TargetMode="External" Target="https://www.legis.iowa.gov/docs/iac/rule/481.65.16.pdf" Type="http://schemas.openxmlformats.org/officeDocument/2006/relationships/hyperlink" Id="rId12"/>
    <Relationship TargetMode="External" Target="https://www.legis.iowa.gov/docs/iac/rule/481.65.16.pdf" Type="http://schemas.openxmlformats.org/officeDocument/2006/relationships/hyperlink" Id="rId13"/>
    <Relationship TargetMode="External" Target="https://www.legis.iowa.gov/docs/ico/chapter/228.1.pdf" Type="http://schemas.openxmlformats.org/officeDocument/2006/relationships/hyperlink" Id="rId14"/>
    <Relationship TargetMode="External" Target="https://www.legis.iowa.gov/docs/ico/chapter/135C.1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