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481—64.5</w:t>
      </w:r>
      <w:r>
        <w:rPr>
          <w:rFonts w:ascii="Times New Roman" w:hAnsi="Times New Roman"/>
          <w:b/>
          <w:i w:val="false"/>
          <w:color w:val="000000"/>
          <w:sz w:val="22"/>
        </w:rPr>
        <w:t xml:space="preserve">(135C) </w:t>
      </w:r>
      <w:r>
        <w:rPr>
          <w:rFonts w:ascii="Times New Roman" w:hAnsi="Times New Roman"/>
          <w:b/>
          <w:i w:val="false"/>
          <w:color w:val="000000"/>
          <w:sz w:val="22"/>
        </w:rPr>
        <w:t xml:space="preserve">Notifications required by the department. </w:t>
      </w:r>
      <w:r>
        <w:rPr>
          <w:rFonts w:ascii="Times New Roman" w:hAnsi="Times New Roman"/>
          <w:b w:val="false"/>
          <w:i w:val="false"/>
          <w:color w:val="000000"/>
          <w:sz w:val="22"/>
        </w:rPr>
        <w:t>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48 hours, by letter, any reduction or loss of direct care professional or dietary staff lasting more than seven days which places the staffing ratio of the intermediate care facility for the intellectually disabled below that required by </w:t>
      </w:r>
      <w:r>
        <w:rPr>
          <w:rFonts w:ascii="Times New Roman" w:hAnsi="Times New Roman"/>
          <w:b w:val="false"/>
          <w:i w:val="false"/>
          <w:color w:val="000000"/>
          <w:sz w:val="22"/>
        </w:rPr>
        <w:t>42 CFR 483.430(d)</w:t>
      </w:r>
      <w:r>
        <w:rPr>
          <w:rFonts w:ascii="Times New Roman" w:hAnsi="Times New Roman"/>
          <w:b w:val="false"/>
          <w:i w:val="false"/>
          <w:color w:val="000000"/>
          <w:sz w:val="22"/>
        </w:rPr>
        <w:t>(3). No additional residents shall be admitted until the minimum staffing requirements are achieved;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64.5(2)</w:t>
      </w:r>
      <w:r>
        <w:rPr>
          <w:rFonts w:ascii="Times New Roman" w:hAnsi="Times New Roman"/>
          <w:b w:val="false"/>
          <w:i w:val="false"/>
          <w:color w:val="000000"/>
          <w:sz w:val="22"/>
        </w:rPr>
        <w:t> </w:t>
      </w:r>
      <w:r>
        <w:rPr>
          <w:rFonts w:ascii="Times New Roman" w:hAnsi="Times New Roman"/>
          <w:b w:val="false"/>
          <w:i w:val="false"/>
          <w:color w:val="000000"/>
          <w:sz w:val="22"/>
        </w:rPr>
        <w:t>Of any proposed change in the intermediate care facility for the intellectually disabled’s functional operation or addition or deletion of required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64.5(3)</w:t>
      </w:r>
      <w:r>
        <w:rPr>
          <w:rFonts w:ascii="Times New Roman" w:hAnsi="Times New Roman"/>
          <w:b w:val="false"/>
          <w:i w:val="false"/>
          <w:color w:val="000000"/>
          <w:sz w:val="22"/>
        </w:rPr>
        <w:t> </w:t>
      </w:r>
      <w:r>
        <w:rPr>
          <w:rFonts w:ascii="Times New Roman" w:hAnsi="Times New Roman"/>
          <w:b w:val="false"/>
          <w:i w:val="false"/>
          <w:color w:val="000000"/>
          <w:sz w:val="22"/>
        </w:rPr>
        <w:t>Thirty days before addition, alteration, or new construction is begun in the intermediate care facility for the intellectually disabled, or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64.5(4)</w:t>
      </w:r>
      <w:r>
        <w:rPr>
          <w:rFonts w:ascii="Times New Roman" w:hAnsi="Times New Roman"/>
          <w:b w:val="false"/>
          <w:i w:val="false"/>
          <w:color w:val="000000"/>
          <w:sz w:val="22"/>
        </w:rPr>
        <w:t> </w:t>
      </w:r>
      <w:r>
        <w:rPr>
          <w:rFonts w:ascii="Times New Roman" w:hAnsi="Times New Roman"/>
          <w:b w:val="false"/>
          <w:i w:val="false"/>
          <w:color w:val="000000"/>
          <w:sz w:val="22"/>
        </w:rPr>
        <w:t>Thirty days in advance of closure of the intermediate care facility for the intellectually disabled;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64.5(5)</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in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64.5(6)</w:t>
      </w:r>
      <w:r>
        <w:rPr>
          <w:rFonts w:ascii="Times New Roman" w:hAnsi="Times New Roman"/>
          <w:b w:val="false"/>
          <w:i w:val="false"/>
          <w:color w:val="000000"/>
          <w:sz w:val="22"/>
        </w:rPr>
        <w:t> </w:t>
      </w:r>
      <w:r>
        <w:rPr>
          <w:rFonts w:ascii="Times New Roman" w:hAnsi="Times New Roman"/>
          <w:b w:val="false"/>
          <w:i w:val="false"/>
          <w:color w:val="000000"/>
          <w:sz w:val="22"/>
        </w:rPr>
        <w:t>When any change in the category of license is sought;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w:t>
      </w:r>
      <w:r>
        <w:rPr>
          <w:rFonts w:ascii="Times New Roman" w:hAnsi="Times New Roman"/>
          <w:b w:val="false"/>
          <w:i w:val="false"/>
          <w:color w:val="000000"/>
          <w:sz w:val="22"/>
        </w:rPr>
        <w:t> </w:t>
      </w:r>
      <w:r>
        <w:rPr>
          <w:rFonts w:ascii="Times New Roman" w:hAnsi="Times New Roman"/>
          <w:b w:val="false"/>
          <w:i w:val="false"/>
          <w:color w:val="000000"/>
          <w:sz w:val="22"/>
        </w:rPr>
        <w:t>Prior to the purchase, transfer, assignment, or lease of an intermediate care facility for the intellectually disabled,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pending sale, transfer, assignment, or lease of the facility; and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name and address of the prospective purchaser, transferee, assignee, or lessee at least 30 days before the sale, transfer, assignment, or lease is completed.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0764C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6972C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