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64.4(5)</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64.4(6)</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in effect a transfer agreement with one or more hospitals sufficiently close to the facility to make feasible the transfer between them of residents and their records. (III) Any facility which does not have such an agreement in effect but has attempted in good faith to enter into such an agreement with a hospital shall be considered to have such an agreement so long as it is in the public interest and essential to ensuring intermediate care facility for the intellectually disabled services for eligible persons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64.4(8)</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be returned to the resident when the funds or property have been used without the written consent of the resident or the resident’s guardian. The department may report findings that funds or property have been used without written consent to the audits division or the local law enforcement agency, as appropriate.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