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481—64.36</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contract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By reason of negative action by the Iowa department of human services;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By reason of negative action by the quality improvement organization (QIO).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64.36(4)</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prohibited—payment source. </w:t>
      </w:r>
      <w:r>
        <w:rPr>
          <w:rFonts w:ascii="Times New Roman" w:hAnsi="Times New Roman"/>
          <w:b w:val="false"/>
          <w:i w:val="false"/>
          <w:color w:val="000000"/>
          <w:sz w:val="22"/>
        </w:rPr>
        <w:t xml:space="preserve">A resident shall not be transferred or discharged solely because the cost of the resident’s care is being paid under Iowa Code chapter </w:t>
      </w:r>
      <w:hyperlink r:id="rId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because the resident’s source of payment is changing from private support to payment under Iowa Code chapter </w:t>
      </w:r>
      <w:hyperlink r:id="rId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(I, II)</w:t>
      </w:r>
    </w:p>
    <w:p>
      <w:pPr>
        <w:spacing w:before="0" w:after="0"/>
        <w:ind w:left="120"/>
        <w:jc w:val="both"/>
      </w:pPr>
      <w:r>
        <w:rPr>
          <w:rFonts w:ascii="Times New Roman" w:hAnsi="Times New Roman"/>
          <w:b/>
          <w:i w:val="false"/>
          <w:color w:val="000000"/>
          <w:sz w:val="22"/>
        </w:rPr>
        <w:t>64.36(5)</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5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 xml:space="preserve">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and you will not be transferred before a final decision is rendered. Extension of the 14-day requirement may be permitted in emergency circumstances upon request to the department’s designee. If you lose the hearing, you will not be transferred before the expiration of either (1) 30 days following your receipt of the original notice of the discharge or transfer, or (2) no sooner than 5 days following final decision of such hearing, including the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responsible party, the resident’s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7">
        <w:r>
          <w:rPr>
            <w:rStyle w:val="Hyperlink"/>
            <w:rFonts w:ascii="Times New Roman" w:hAnsi="Times New Roman"/>
            <w:b w:val="false"/>
            <w:i w:val="false"/>
            <w:color w:val="000000"/>
            <w:sz w:val="22"/>
          </w:rPr>
          <w:t>64.36(5)</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discharge or transfer is the result of a final, nonappealable decision by the department of human services or the QIO.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8">
        <w:r>
          <w:rPr>
            <w:rStyle w:val="Hyperlink"/>
            <w:rFonts w:ascii="Times New Roman" w:hAnsi="Times New Roman"/>
            <w:b w:val="false"/>
            <w:i w:val="false"/>
            <w:color w:val="000000"/>
            <w:sz w:val="22"/>
          </w:rPr>
          <w:t>64.36(7)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64.36(6)</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the transfer or discharge.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notice shall be placed in the resident’s file. 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2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 xml:space="preserve">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responsible party, the resident’s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9">
        <w:r>
          <w:rPr>
            <w:rStyle w:val="Hyperlink"/>
            <w:rFonts w:ascii="Times New Roman" w:hAnsi="Times New Roman"/>
            <w:b w:val="false"/>
            <w:i w:val="false"/>
            <w:color w:val="000000"/>
            <w:sz w:val="22"/>
          </w:rPr>
          <w:t>64.36(7)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64.36(7)</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receipt of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the department’s receipt of the request unless either party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The hearing shall be public unless the resident or representative requests in writing that the hearing be closed. In a determination as to whether a transfer or discharge is authorized, the burden of proof by a preponderance of the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and the responsible party not later than five full business days after the department’s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sent by certified mail to the facility, resident, and responsible party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basis for an involuntary transfer or discharge is the result of a negative action by the Iowa department of human services or the QIO, an appeal shall be filed with those entities as appropriate. Continued payment shall be consistent with rules of those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64.36(8)</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64.36(9)</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12">
        <w:r>
          <w:rPr>
            <w:rStyle w:val="Hyperlink"/>
            <w:rFonts w:ascii="Times New Roman" w:hAnsi="Times New Roman"/>
            <w:b w:val="false"/>
            <w:i w:val="false"/>
            <w:color w:val="000000"/>
            <w:sz w:val="22"/>
          </w:rPr>
          <w:t>64.36(6)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64.36(10)</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13">
        <w:r>
          <w:rPr>
            <w:rStyle w:val="Hyperlink"/>
            <w:rFonts w:ascii="Times New Roman" w:hAnsi="Times New Roman"/>
            <w:b w:val="false"/>
            <w:i w:val="false"/>
            <w:color w:val="000000"/>
            <w:sz w:val="22"/>
          </w:rPr>
          <w:t>64.36(10)</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14">
        <w:r>
          <w:rPr>
            <w:rStyle w:val="Hyperlink"/>
            <w:rFonts w:ascii="Times New Roman" w:hAnsi="Times New Roman"/>
            <w:b w:val="false"/>
            <w:i w:val="false"/>
            <w:color w:val="000000"/>
            <w:sz w:val="22"/>
          </w:rPr>
          <w:t>64.36(6)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15">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that receives a resident who has been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64.36(11)</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64.36(12)</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resident’s incompatibility with or disturbance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medical, nursing or psychosocial reasons, as judged by the primary care provider, nurse or social worker in the case of a facility which groups residents by medical, nursing or psychosocial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subparagraph </w:t>
      </w:r>
      <w:hyperlink r:id="rId16">
        <w:r>
          <w:rPr>
            <w:rStyle w:val="Hyperlink"/>
            <w:rFonts w:ascii="Times New Roman" w:hAnsi="Times New Roman"/>
            <w:b w:val="false"/>
            <w:i w:val="false"/>
            <w:color w:val="000000"/>
            <w:sz w:val="22"/>
          </w:rPr>
          <w:t>64.36(12)</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subparagraph </w:t>
      </w:r>
      <w:hyperlink r:id="rId17">
        <w:r>
          <w:rPr>
            <w:rStyle w:val="Hyperlink"/>
            <w:rFonts w:ascii="Times New Roman" w:hAnsi="Times New Roman"/>
            <w:b w:val="false"/>
            <w:i w:val="false"/>
            <w:color w:val="000000"/>
            <w:sz w:val="22"/>
          </w:rPr>
          <w:t>64.36(12)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hyperlink r:id="rId18">
        <w:r>
          <w:rPr>
            <w:rStyle w:val="Hyperlink"/>
            <w:rFonts w:ascii="Times New Roman" w:hAnsi="Times New Roman"/>
            <w:b w:val="false"/>
            <w:i w:val="false"/>
            <w:color w:val="000000"/>
            <w:sz w:val="22"/>
          </w:rPr>
          <w:t>64.36(12)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9.pdf" Type="http://schemas.openxmlformats.org/officeDocument/2006/relationships/hyperlink" Id="rId4"/>
    <Relationship TargetMode="External" Target="https://www.legis.iowa.gov/docs/ico/chapter/249A.pdf" Type="http://schemas.openxmlformats.org/officeDocument/2006/relationships/hyperlink" Id="rId5"/>
    <Relationship TargetMode="External" Target="https://www.legis.iowa.gov/docs/ico/chapter/249A.pdf" Type="http://schemas.openxmlformats.org/officeDocument/2006/relationships/hyperlink" Id="rId6"/>
    <Relationship TargetMode="External" Target="https://www.legis.iowa.gov/docs/iac/rule/481.64.36.pdf" Type="http://schemas.openxmlformats.org/officeDocument/2006/relationships/hyperlink" Id="rId7"/>
    <Relationship TargetMode="External" Target="https://www.legis.iowa.gov/docs/iac/rule/481.64.36.pdf" Type="http://schemas.openxmlformats.org/officeDocument/2006/relationships/hyperlink" Id="rId8"/>
    <Relationship TargetMode="External" Target="https://www.legis.iowa.gov/docs/iac/rule/481.64.36.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ac/chapter/7.2506.pdf" Type="http://schemas.openxmlformats.org/officeDocument/2006/relationships/hyperlink" Id="rId11"/>
    <Relationship TargetMode="External" Target="https://www.legis.iowa.gov/docs/iac/rule/481.64.36.pdf" Type="http://schemas.openxmlformats.org/officeDocument/2006/relationships/hyperlink" Id="rId12"/>
    <Relationship TargetMode="External" Target="https://www.legis.iowa.gov/docs/iac/rule/481.64.36.pdf" Type="http://schemas.openxmlformats.org/officeDocument/2006/relationships/hyperlink" Id="rId13"/>
    <Relationship TargetMode="External" Target="https://www.legis.iowa.gov/docs/iac/rule/481.64.36.pdf" Type="http://schemas.openxmlformats.org/officeDocument/2006/relationships/hyperlink" Id="rId14"/>
    <Relationship TargetMode="External" Target="https://www.legis.iowa.gov/docs/ico/chapter/228.1.pdf" Type="http://schemas.openxmlformats.org/officeDocument/2006/relationships/hyperlink" Id="rId15"/>
    <Relationship TargetMode="External" Target="https://www.legis.iowa.gov/docs/iac/rule/481.64.36.pdf" Type="http://schemas.openxmlformats.org/officeDocument/2006/relationships/hyperlink" Id="rId16"/>
    <Relationship TargetMode="External" Target="https://www.legis.iowa.gov/docs/iac/rule/481.64.36.pdf" Type="http://schemas.openxmlformats.org/officeDocument/2006/relationships/hyperlink" Id="rId17"/>
    <Relationship TargetMode="External" Target="https://www.legis.iowa.gov/docs/iac/rule/481.64.36.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