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481—64.33</w:t>
      </w:r>
      <w:r>
        <w:rPr>
          <w:rFonts w:ascii="Times New Roman" w:hAnsi="Times New Roman"/>
          <w:b/>
          <w:i w:val="false"/>
          <w:color w:val="000000"/>
          <w:sz w:val="22"/>
        </w:rPr>
        <w:t xml:space="preserve">(135C) </w:t>
      </w:r>
      <w:r>
        <w:rPr>
          <w:rFonts w:ascii="Times New Roman" w:hAnsi="Times New Roman"/>
          <w:b/>
          <w:i w:val="false"/>
          <w:color w:val="000000"/>
          <w:sz w:val="22"/>
        </w:rPr>
        <w:t xml:space="preserve">Allegations of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64.33(1)</w:t>
      </w:r>
      <w:r>
        <w:rPr>
          <w:rFonts w:ascii="Times New Roman" w:hAnsi="Times New Roman"/>
          <w:b w:val="false"/>
          <w:i w:val="false"/>
          <w:color w:val="000000"/>
          <w:sz w:val="22"/>
        </w:rPr>
        <w:t> </w:t>
      </w:r>
      <w:r>
        <w:rPr>
          <w:rFonts w:ascii="Times New Roman" w:hAnsi="Times New Roman"/>
          <w:b w:val="false"/>
          <w:i/>
          <w:color w:val="000000"/>
          <w:sz w:val="22"/>
        </w:rPr>
        <w:t xml:space="preserve">Allegations of dependent adult abuse. </w:t>
      </w:r>
      <w:r>
        <w:rPr>
          <w:rFonts w:ascii="Times New Roman" w:hAnsi="Times New Roman"/>
          <w:b w:val="false"/>
          <w:i w:val="false"/>
          <w:color w:val="000000"/>
          <w:sz w:val="22"/>
        </w:rPr>
        <w:t xml:space="preserve">Allegations of dependent adult abuse shall be reported and investigated pursuant to Iowa Code chapter </w:t>
      </w:r>
      <w:hyperlink r:id="rId4">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xml:space="preserve">. (I, II,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64.33(2)</w:t>
      </w:r>
      <w:r>
        <w:rPr>
          <w:rFonts w:ascii="Times New Roman" w:hAnsi="Times New Roman"/>
          <w:b w:val="false"/>
          <w:i w:val="false"/>
          <w:color w:val="000000"/>
          <w:sz w:val="22"/>
        </w:rPr>
        <w:t> </w:t>
      </w:r>
      <w:r>
        <w:rPr>
          <w:rFonts w:ascii="Times New Roman" w:hAnsi="Times New Roman"/>
          <w:b w:val="false"/>
          <w:i/>
          <w:color w:val="000000"/>
          <w:sz w:val="22"/>
        </w:rPr>
        <w:t xml:space="preserve">Separation of accused abuser and victim. </w:t>
      </w:r>
      <w:r>
        <w:rPr>
          <w:rFonts w:ascii="Times New Roman" w:hAnsi="Times New Roman"/>
          <w:b w:val="false"/>
          <w:i w:val="false"/>
          <w:color w:val="000000"/>
          <w:sz w:val="22"/>
        </w:rPr>
        <w:t>Upon a claim of dependent adult abuse of a resident being reported, the administrator of the facility shall separate the victim and accused abuser immediately and maintain the separation until the department’s abuse investigation is completed and an abuse determination is made. (I,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5E.pdf" Type="http://schemas.openxmlformats.org/officeDocument/2006/relationships/hyperlink" Id="rId4"/>
    <Relationship TargetMode="External" Target="https://www.legis.iowa.gov/docs/iac/chapter/481.5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