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481—64.2</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r>
        <w:rPr>
          <w:rFonts w:ascii="Times New Roman" w:hAnsi="Times New Roman"/>
          <w:b w:val="false"/>
          <w:i w:val="false"/>
          <w:color w:val="000000"/>
          <w:sz w:val="22"/>
        </w:rPr>
        <w:t>Waivers from these rules may be granted by the director of the department of inspections and appeals for good and sufficient reason when the need for a waiver has been established; no danger to the health, safety, or welfare of any resident results; alternate means are employed or compensating circumstances exist and the waiver will apply only to an individual intermediate care facility for the intellectually disabled. Waivers will be reviewed at the discretion of the director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licensee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a waiver in writing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or rules from which a waiver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or rules cannot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alternate arrangements or compensating circumstances which justify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requested waiver will not endanger the health, safety, or welfare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64.2(2)</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a waiver, the director of the department of inspections and appeals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the rule from which a waiver is requested to determine that the request is necessary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request meets the above criteria, evaluate the alternate arrangements or compensating circumstances against the requirement of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the effect of the requested waiver on the health, safety, or welfare of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Consult with the applicant if additional information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64.2(3)</w:t>
      </w:r>
      <w:r>
        <w:rPr>
          <w:rFonts w:ascii="Times New Roman" w:hAnsi="Times New Roman"/>
          <w:b w:val="false"/>
          <w:i w:val="false"/>
          <w:color w:val="000000"/>
          <w:sz w:val="22"/>
        </w:rPr>
        <w:t> </w:t>
      </w:r>
      <w:r>
        <w:rPr>
          <w:rFonts w:ascii="Times New Roman" w:hAnsi="Times New Roman"/>
          <w:b w:val="false"/>
          <w:i w:val="false"/>
          <w:color w:val="000000"/>
          <w:sz w:val="22"/>
        </w:rPr>
        <w:t>Based upon these studies, approval of the waiver will be either granted or denied within 120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