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481—64.18</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resident’s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director’s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Pharmacy’s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by the physician that the resident requires no higher level of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Physician’s orders for medication and treatments in writing, which shall be signed by the physician quarterly, and diet orders, which shall be renewed yearly;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notation of the resident’s yearly or other visits to physician or other professionals and all consultation reports and progress notes;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Documentation describing any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in the resident’s record shall include the date and time of the resident’s death, the circumstances of the resident’s death, the disposition of the resident’s body, and the date and time that the resident’s family and physician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the resident’s legal representative, or receiving facility in the event of the resident’s discharge or transfer;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Disposition of personal property.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ensured confidential treatment of all information, including information contained in an automated data bank. The resident’s or the resident’s legal guardian’s written informed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A release of information form shall be used which includes to whom the information shall be released, the reason for the release of the information, how the information is to be used, and the period of time for which the release is in effect. A third party not requesting the release shall witness the signing of the release of information form.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 to the resident. Information shall be made available to staff only to the extent that the information is relevant to the staff person’s responsibilities and duties. (II)</w:t>
      </w:r>
    </w:p>
    <w:p>
      <w:pPr>
        <w:spacing w:before="0" w:after="0"/>
        <w:ind w:left="120"/>
        <w:jc w:val="both"/>
      </w:pPr>
      <w:r>
        <w:rPr>
          <w:rFonts w:ascii="Times New Roman" w:hAnsi="Times New Roman"/>
          <w:b w:val="false"/>
          <w:i w:val="false"/>
          <w:color w:val="000000"/>
          <w:sz w:val="22"/>
        </w:rPr>
        <w:t>Only those personnel concerned with financial affairs of the residents may have access to the financial information. This paragraph is not meant to preclude access by representatives of state or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r>
        <w:rPr>
          <w:rFonts w:ascii="Times New Roman" w:hAnsi="Times New Roman"/>
          <w:b w:val="false"/>
          <w:i w:val="false"/>
          <w:color w:val="000000"/>
          <w:sz w:val="22"/>
        </w:rPr>
        <w:t>Each facility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of every incident shall be in detail on a printed incident report form.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of the report and sign the report.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copy of the incident report as part of the facility’s administrative records and shall make the record available for review.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 resident’s records shall be retained in the facility for five years following termination of services to the resident even when there is a change of ownership of the facility. (III)</w:t>
      </w:r>
    </w:p>
    <w:p>
      <w:pPr>
        <w:spacing w:before="0" w:after="0"/>
        <w:ind w:left="120"/>
        <w:jc w:val="both"/>
      </w:pPr>
      <w:r>
        <w:rPr>
          <w:rFonts w:ascii="Times New Roman" w:hAnsi="Times New Roman"/>
          <w:b w:val="false"/>
          <w:i w:val="false"/>
          <w:color w:val="000000"/>
          <w:sz w:val="22"/>
        </w:rPr>
        <w:t>When the facility ceases to operate, the resident’s records shall be released to the receiving facility. If no transfer occurs, the records shall be released to the resident’s physician.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