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481—64.17</w:t>
      </w:r>
      <w:r>
        <w:rPr>
          <w:rFonts w:ascii="Times New Roman" w:hAnsi="Times New Roman"/>
          <w:b/>
          <w:i w:val="false"/>
          <w:color w:val="000000"/>
          <w:sz w:val="22"/>
        </w:rPr>
        <w:t xml:space="preserve">(135C) </w:t>
      </w:r>
      <w:r>
        <w:rPr>
          <w:rFonts w:ascii="Times New Roman" w:hAnsi="Times New Roman"/>
          <w:b/>
          <w:i w:val="false"/>
          <w:color w:val="000000"/>
          <w:sz w:val="22"/>
        </w:rPr>
        <w:t xml:space="preserve">Contracts. </w:t>
      </w:r>
      <w:r>
        <w:rPr>
          <w:rFonts w:ascii="Times New Roman" w:hAnsi="Times New Roman"/>
          <w:b w:val="false"/>
          <w:i w:val="false"/>
          <w:color w:val="000000"/>
          <w:sz w:val="22"/>
        </w:rPr>
        <w:t>Each party shall receive a copy of the signed contract. (III) Each contract for residents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64.17(1)</w:t>
      </w:r>
      <w:r>
        <w:rPr>
          <w:rFonts w:ascii="Times New Roman" w:hAnsi="Times New Roman"/>
          <w:b w:val="false"/>
          <w:i w:val="false"/>
          <w:color w:val="000000"/>
          <w:sz w:val="22"/>
        </w:rPr>
        <w:t> </w:t>
      </w:r>
      <w:r>
        <w:rPr>
          <w:rFonts w:ascii="Times New Roman" w:hAnsi="Times New Roman"/>
          <w:b w:val="false"/>
          <w:i w:val="false"/>
          <w:color w:val="000000"/>
          <w:sz w:val="22"/>
        </w:rPr>
        <w:t>State the rate or scale per day or per month for services included in the rate or scale and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64.17(2)</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complete schedule of services as set forth in this subrule;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64.17(3)</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those services, with the specific fee the resident will be charged and method of payment, as related to the resident’s current condition, based on a preadmission evaluation assessment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64.17(4)</w:t>
      </w:r>
      <w:r>
        <w:rPr>
          <w:rFonts w:ascii="Times New Roman" w:hAnsi="Times New Roman"/>
          <w:b w:val="false"/>
          <w:i w:val="false"/>
          <w:color w:val="000000"/>
          <w:sz w:val="22"/>
        </w:rPr>
        <w:t> </w:t>
      </w:r>
      <w:r>
        <w:rPr>
          <w:rFonts w:ascii="Times New Roman" w:hAnsi="Times New Roman"/>
          <w:b w:val="false"/>
          <w:i w:val="false"/>
          <w:color w:val="000000"/>
          <w:sz w:val="22"/>
        </w:rPr>
        <w:t>Include the total fee per day to be charged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64.17(5)</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responsible party when appropriate, of changes in the overall rates of both base and additional charges, at least 30 days prior to effective date of such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responsible party when appropriate, of changes in charges, based on a change in the resident’s condition. Notification must occur prior to the date such revised charges begin. If notification is given orally, subsequent written notification must also be given within a reasonable time, not to exceed one week, listing specifically the adjustments made;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64.17(6)</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refund of all advance payments in the event of transfer, death,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64.17(7)</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and charging for a bed in the event of temporary absence of the resident; such terms shall include,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medical treatment, the facility shall ask the resident or responsible party if they wish the bed held open. This shall be documented in the resident’s record including the response. Upon request of the resident/responsible party, the facility shall hold the bed open for at least ten days during the resident’s absence and the facility shall receive payment for the absent period in accordance with provisions of the contract.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therapeutic reasons as approved by a physician or qualified intellectual disabilities professional, the facility shall ask if the resident or responsible party wishes that the bed be held open. This request shall be documented in the resident’s record, including the response. The bed shall be held open at least 30 days per year, and the facility shall receive payment for the absent periods in accordance with the provisions of the contract. The required holding during temporary absences for therapeutic reasons is limited to 30 days per year.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Title XIX residents, the department of health and human services shall continue funding for the temporary absence as provided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in accordance with department of health and human services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pay residents shall have a negotiated rate stated in the signed contract relating to these provisions.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64.17(8)</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64.17(9)</w:t>
      </w:r>
      <w:r>
        <w:rPr>
          <w:rFonts w:ascii="Times New Roman" w:hAnsi="Times New Roman"/>
          <w:b w:val="false"/>
          <w:i w:val="false"/>
          <w:color w:val="000000"/>
          <w:sz w:val="22"/>
        </w:rPr>
        <w:t> </w:t>
      </w:r>
      <w:r>
        <w:rPr>
          <w:rFonts w:ascii="Times New Roman" w:hAnsi="Times New Roman"/>
          <w:b w:val="false"/>
          <w:i w:val="false"/>
          <w:color w:val="000000"/>
          <w:sz w:val="22"/>
        </w:rPr>
        <w:t>State the conditions of voluntary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64.17(10)</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contract. No contract or any provision thereof shall be drawn or construed so as to relieve any facility of any requirement or obligation imposed upon it by this chapter or any standards or rules in force pursuant to this chapter.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