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481—61.6</w:t>
      </w:r>
      <w:r>
        <w:rPr>
          <w:rFonts w:ascii="Times New Roman" w:hAnsi="Times New Roman"/>
          <w:b/>
          <w:i w:val="false"/>
          <w:color w:val="000000"/>
          <w:sz w:val="22"/>
        </w:rPr>
        <w:t xml:space="preserve">(135C) </w:t>
      </w:r>
      <w:r>
        <w:rPr>
          <w:rFonts w:ascii="Times New Roman" w:hAnsi="Times New Roman"/>
          <w:b/>
          <w:i w:val="false"/>
          <w:color w:val="000000"/>
          <w:sz w:val="22"/>
        </w:rPr>
        <w:t xml:space="preserve">Construction requirements. </w:t>
      </w:r>
      <w:r>
        <w:rPr>
          <w:rFonts w:ascii="Times New Roman" w:hAnsi="Times New Roman"/>
          <w:b w:val="false"/>
          <w:i w:val="false"/>
          <w:color w:val="000000"/>
          <w:sz w:val="22"/>
        </w:rPr>
        <w:t>This rule contains construction requirements for all areas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4">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Fire Safety Requirements for Hospitals and Health Care Facilities. Projects required to meet the provisions of the state building code shall be deemed to be in compliance with the fire safety requirements of the state building code if the nursing facility is in compliance with the provisions of </w:t>
      </w:r>
      <w:hyperlink r:id="rId5">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Fire Safety Requirements for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6">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xml:space="preserve">, State Building Code—General Provisions. Projects meeting the local building code shall be deemed to be in compliance with the state building code provided that the local jurisdiction has established a building department, has adopted a building code by ordinance and enforces the local code through a system which includes both plan review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Projects shall be constructed in compliance with the standards set forth in the Guidelines for Design and Construction of Residential Health, Care, and Support Facilities, 2018 edition, published by the Facility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Mechanical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7">
        <w:r>
          <w:rPr>
            <w:rStyle w:val="Hyperlink"/>
            <w:rFonts w:ascii="Times New Roman" w:hAnsi="Times New Roman"/>
            <w:b w:val="false"/>
            <w:i w:val="false"/>
            <w:color w:val="000000"/>
            <w:sz w:val="22"/>
          </w:rPr>
          <w:t>481—Chapter 280</w:t>
        </w:r>
      </w:hyperlink>
      <w:r>
        <w:rPr>
          <w:rFonts w:ascii="Times New Roman" w:hAnsi="Times New Roman"/>
          <w:b w:val="false"/>
          <w:i w:val="false"/>
          <w:color w:val="000000"/>
          <w:sz w:val="22"/>
        </w:rPr>
        <w:t>, Fire Safety Requirements for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mechanical code as provided in rule </w:t>
      </w:r>
      <w:hyperlink r:id="rId8">
        <w:r>
          <w:rPr>
            <w:rStyle w:val="Hyperlink"/>
            <w:rFonts w:ascii="Times New Roman" w:hAnsi="Times New Roman"/>
            <w:b w:val="false"/>
            <w:i w:val="false"/>
            <w:color w:val="000000"/>
            <w:sz w:val="22"/>
          </w:rPr>
          <w:t>481—301.4(103A)</w:t>
        </w:r>
      </w:hyperlink>
      <w:r>
        <w:rPr>
          <w:rFonts w:ascii="Times New Roman" w:hAnsi="Times New Roman"/>
          <w:b w:val="false"/>
          <w:i w:val="false"/>
          <w:color w:val="000000"/>
          <w:sz w:val="22"/>
        </w:rPr>
        <w:t>. Projects meeting the local mechanical code shall be deemed to be in compliance with the state mechanical code provided that the local jurisdiction has established a building department, has adopted a building code by ordinance and enforces the local code through a system which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color w:val="000000"/>
          <w:sz w:val="22"/>
        </w:rPr>
        <w:t xml:space="preserve">Electrical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standards referenced in </w:t>
      </w:r>
      <w:hyperlink r:id="rId9">
        <w:r>
          <w:rPr>
            <w:rStyle w:val="Hyperlink"/>
            <w:rFonts w:ascii="Times New Roman" w:hAnsi="Times New Roman"/>
            <w:b w:val="false"/>
            <w:i w:val="false"/>
            <w:color w:val="000000"/>
            <w:sz w:val="22"/>
          </w:rPr>
          <w:t>481—Chapter 280</w:t>
        </w:r>
      </w:hyperlink>
      <w:r>
        <w:rPr>
          <w:rFonts w:ascii="Times New Roman" w:hAnsi="Times New Roman"/>
          <w:b w:val="false"/>
          <w:i w:val="false"/>
          <w:color w:val="000000"/>
          <w:sz w:val="22"/>
        </w:rPr>
        <w:t>, Fire Safety Requirements for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electrical code as provided in rule </w:t>
      </w:r>
      <w:hyperlink r:id="rId10">
        <w:r>
          <w:rPr>
            <w:rStyle w:val="Hyperlink"/>
            <w:rFonts w:ascii="Times New Roman" w:hAnsi="Times New Roman"/>
            <w:b w:val="false"/>
            <w:i w:val="false"/>
            <w:color w:val="000000"/>
            <w:sz w:val="22"/>
          </w:rPr>
          <w:t>481—301.5</w:t>
        </w:r>
      </w:hyperlink>
      <w:r>
        <w:rPr>
          <w:rFonts w:ascii="Times New Roman" w:hAnsi="Times New Roman"/>
          <w:b w:val="false"/>
          <w:i w:val="false"/>
          <w:color w:val="000000"/>
          <w:sz w:val="22"/>
        </w:rPr>
        <w:t xml:space="preserve">(103A).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w:t>
      </w:r>
      <w:r>
        <w:rPr>
          <w:rFonts w:ascii="Times New Roman" w:hAnsi="Times New Roman"/>
          <w:b w:val="false"/>
          <w:i w:val="false"/>
          <w:color w:val="000000"/>
          <w:sz w:val="22"/>
        </w:rPr>
        <w:t> </w:t>
      </w:r>
      <w:r>
        <w:rPr>
          <w:rFonts w:ascii="Times New Roman" w:hAnsi="Times New Roman"/>
          <w:b w:val="false"/>
          <w:i/>
          <w:color w:val="000000"/>
          <w:sz w:val="22"/>
        </w:rPr>
        <w:t xml:space="preserve">Plumbing requirements. </w:t>
      </w:r>
      <w:r>
        <w:rPr>
          <w:rFonts w:ascii="Times New Roman" w:hAnsi="Times New Roman"/>
          <w:b w:val="false"/>
          <w:i w:val="false"/>
          <w:color w:val="000000"/>
          <w:sz w:val="22"/>
        </w:rPr>
        <w:t xml:space="preserve">Projects shall be constructed in compliance with </w:t>
      </w:r>
      <w:hyperlink r:id="rId11">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w:t>
      </w:r>
      <w:r>
        <w:rPr>
          <w:rFonts w:ascii="Times New Roman" w:hAnsi="Times New Roman"/>
          <w:b w:val="false"/>
          <w:i w:val="false"/>
          <w:color w:val="000000"/>
          <w:sz w:val="22"/>
        </w:rPr>
        <w:t> </w:t>
      </w:r>
      <w:r>
        <w:rPr>
          <w:rFonts w:ascii="Times New Roman" w:hAnsi="Times New Roman"/>
          <w:b w:val="false"/>
          <w:i/>
          <w:color w:val="000000"/>
          <w:sz w:val="22"/>
        </w:rPr>
        <w:t xml:space="preserve">Accessibility requirements. </w:t>
      </w:r>
      <w:r>
        <w:rPr>
          <w:rFonts w:ascii="Times New Roman" w:hAnsi="Times New Roman"/>
          <w:b w:val="false"/>
          <w:i w:val="false"/>
          <w:color w:val="000000"/>
          <w:sz w:val="22"/>
        </w:rPr>
        <w:t xml:space="preserve">Projects shall be constructed in compliance with </w:t>
      </w:r>
      <w:hyperlink r:id="rId12">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 State Building Code—Accessibility of Buildings and Facilities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61.6(6)</w:t>
      </w:r>
      <w:r>
        <w:rPr>
          <w:rFonts w:ascii="Times New Roman" w:hAnsi="Times New Roman"/>
          <w:b w:val="false"/>
          <w:i w:val="false"/>
          <w:color w:val="000000"/>
          <w:sz w:val="22"/>
        </w:rPr>
        <w:t> </w:t>
      </w:r>
      <w:r>
        <w:rPr>
          <w:rFonts w:ascii="Times New Roman" w:hAnsi="Times New Roman"/>
          <w:b w:val="false"/>
          <w:i/>
          <w:color w:val="000000"/>
          <w:sz w:val="22"/>
        </w:rPr>
        <w:t xml:space="preserve">Lighting requirements. </w:t>
      </w:r>
      <w:r>
        <w:rPr>
          <w:rFonts w:ascii="Times New Roman" w:hAnsi="Times New Roman"/>
          <w:b w:val="false"/>
          <w:i w:val="false"/>
          <w:color w:val="000000"/>
          <w:sz w:val="22"/>
        </w:rPr>
        <w:t>Light shall be provided in the areas of the building as required in the Guidelines for Design and Construction of Residential Health, Care, and Support Facilities, 2018 edition, published by the Facilities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61.6(7)</w:t>
      </w:r>
      <w:r>
        <w:rPr>
          <w:rFonts w:ascii="Times New Roman" w:hAnsi="Times New Roman"/>
          <w:b w:val="false"/>
          <w:i w:val="false"/>
          <w:color w:val="000000"/>
          <w:sz w:val="22"/>
        </w:rPr>
        <w:t> </w:t>
      </w:r>
      <w:r>
        <w:rPr>
          <w:rFonts w:ascii="Times New Roman" w:hAnsi="Times New Roman"/>
          <w:b w:val="false"/>
          <w:i/>
          <w:color w:val="000000"/>
          <w:sz w:val="22"/>
        </w:rPr>
        <w:t xml:space="preserve">Exit door alarm system. </w:t>
      </w:r>
      <w:r>
        <w:rPr>
          <w:rFonts w:ascii="Times New Roman" w:hAnsi="Times New Roman"/>
          <w:b w:val="false"/>
          <w:i w:val="false"/>
          <w:color w:val="000000"/>
          <w:sz w:val="22"/>
        </w:rPr>
        <w:t>An exit door alarm system shall be installed on all exterior doors.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4264C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61.205.pdf" Type="http://schemas.openxmlformats.org/officeDocument/2006/relationships/hyperlink" Id="rId4"/>
    <Relationship TargetMode="External" Target="https://www.legis.iowa.gov/docs/iac/chapter/661.205.pdf" Type="http://schemas.openxmlformats.org/officeDocument/2006/relationships/hyperlink" Id="rId5"/>
    <Relationship TargetMode="External" Target="https://www.legis.iowa.gov/docs/iac/chapter/661.301.pdf" Type="http://schemas.openxmlformats.org/officeDocument/2006/relationships/hyperlink" Id="rId6"/>
    <Relationship TargetMode="External" Target="https://www.legis.iowa.gov/docs/iac/chapter/481.280.pdf" Type="http://schemas.openxmlformats.org/officeDocument/2006/relationships/hyperlink" Id="rId7"/>
    <Relationship TargetMode="External" Target="https://www.legis.iowa.gov/docs/iac/rule/481.301.4.pdf" Type="http://schemas.openxmlformats.org/officeDocument/2006/relationships/hyperlink" Id="rId8"/>
    <Relationship TargetMode="External" Target="https://www.legis.iowa.gov/docs/iac/chapter/481.280.pdf" Type="http://schemas.openxmlformats.org/officeDocument/2006/relationships/hyperlink" Id="rId9"/>
    <Relationship TargetMode="External" Target="https://www.legis.iowa.gov/docs/iac/rule/481.301.5.pdf" Type="http://schemas.openxmlformats.org/officeDocument/2006/relationships/hyperlink" Id="rId10"/>
    <Relationship TargetMode="External" Target="https://www.legis.iowa.gov/docs/iac/chapter/481.425.pdf" Type="http://schemas.openxmlformats.org/officeDocument/2006/relationships/hyperlink" Id="rId11"/>
    <Relationship TargetMode="External" Target="https://www.legis.iowa.gov/docs/iac/chapter/661.302.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